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新疆维吾尔自治区交通运输综合行政执法局喀什执法支队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新疆维吾尔自治区交通运输综合行政执法局喀什执法支队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努尔麦麦提·阿那叶提</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公路法》、《路政管理规定》(交通部令2003年第2号)、《公路安全保护条例》、《新疆维吾尔自治区公路路政管理条例》、《新疆维吾尔自治区公路路产损失赔（补）偿费、路政罚没收支财务管理办法》（新交发〔2012〕105号）等文件要求，确保路政管理、治理超限超载管理工作正常开展。确保2个超限检测站治理超限超载工作平稳开展；支队机关及所属9个执法大队加大路域环境整治力度，依法治理违法行为，做好公路路域的预防性管理工作，交通运输执法工作人员需要按照相关规定对所辖公路进行巡查，及时发现安全隐患予以处置，及时处置路产损害案件并对超限超载车辆进行查处。依法做好交通运输执法、超限超载监督工作，严格履行交通运输执法管理职责，确保公路路产路权不受侵犯，维护公路完好、安全、畅通。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为确保路政、治理超限超载管理工作正常开展，依法行使公路方面行政处罚权，并对我支队辖区公路超限治理进行监督管理。该项目包含综合行政执法工作经费、执法巡查工作经费2个小项。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（1）综合行政执法工作经费：保障所辖公路的安全，及时发现安全隐患，保障路产路权不受侵害，并及时处置路产损害案件，开展治理超限超载工作。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（2）执法巡查工作经费：用于保障交通运输综合行政执法日常巡查、路检路查、专项整治及应急执法等工作开展，确保执法车辆正常运行、巡查任务高效落实。</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公路管理项目预算安排总额为130.68万元，其中财政资金130.68万元，其他资金0万元，2025年实际收到预算资金130.68万元，预算资金到位率为100%。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本项目实际支付资金130.68万元，预算执行率100%。项目资金主要用于支付综合行政执法经费87.78万元、执法巡查工作经费42.9万元。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新疆维吾尔自治区交通运输综合行政执法局喀什执法支队主要职责及2025年工作计划，保障超限检测站路警联合治理超限超载工作平稳开展；所属执法大队加大路域环境整治力度，依法治理违法行为，做好公路路域的预防性管理工作。确保公路路产路权不受侵犯，维护公路完好、安全、畅通。加强部门联动，强化执法力度，严厉打击超限超载违法行为，提高路政案件破案率、结案率，有效保护路产路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2025年05月31日，项目总体完成率40.49%，项目资金执行率27.6%，项目偏差12.89%，后期加强项目负责人员与财务人员协作和沟通，由本项目负责人员及时提供项目完成情况资料，财务人员进行工作梳理，并根据完成情况及时支付项目资金，提升项目执行效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2025年08月31日，项目总体完成率64.71%，项目资金执行率58.07%，项目偏差6.64%，本项目严格按照预算计划进行支出，完成了既定工作任务，确保路政管理、治理超限超载管理工作正常开展的工作目标，实现专款专用，完成阶段性绩效目标的效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1.绩效评价的目的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此次我单位根据《项目支出绩效评价管理办法》（财预〔2020〕10号）文件要求对2025年度我单位实施的公路管理项目开展部门绩效评价，项目总金额130.68万元。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定量指标分析环节：主要采用比较法，对比三级指标预期指标值和三级指标截至评价日的完成情况，综合分析绩效目标实现程度。详细评价方法的应用如下：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②属于“是”或“否”判断的单一评判定量指标：比较法，符合要求的得满分，不符合要求的不得分或者扣相应的分数。</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③满意度指标：主要采用比较法，根据满意度问卷统计情况计算完成比率与预期指标值对比，达成满意度预期目标的，得满分；未完成指标值的，按照完成值与预期指标值的比例记分；满意度小于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定性指标分析环节：主要采用公众评判法，通过问卷及抽样调查等方式评价本项目实施后社会公众对于其实施效果的满意程度，将调研结果按照《项目支出绩效评价管理办法》（财预〔2020〕10 号）《关于印发〈自治区项目支出绩效目标设置指引〉的通知》（新财预〔2022〕42 号）要求分为基本达成目标、部分实现目标、实现目标程度较低三档，分别按照该指标对应分值区间 100.00%-80%（含）、80%-60%（含）、60%-0%合理确定分值，详细评价方法的应用如下：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编制科学性：专项资金分配采取因素分析法，应当主要选取自然、经济、社会、绩效等客观因素，并在资金管理办法中明确相应的权重或标准。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④资金到位率：按照完成比率得分，并分析实际完成值和预期指标值之间的差距和原因。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1.评价组组长：玉苏甫江，职责：负责绩效评价全面工作，工作内容：指导、监督、综合检查。统一部署和管理绩效考核工作，对考核结果进行审核，促进整体绩效目标的达成和提高；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2.评价组成员：如山古丽、米日阿依·巴图尔，职责：负责绩效评价工作的具体实施，工作内容：根据日常工作开展情况，收集整理自评材料，填写绩效自评数据，撰写绩效评价报告，提供必要的反馈和指导；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20分、过程管理20分、项目产出30分、项目成本20分、项目效益5分、满意度指标5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通过新藏公路执法支队党委会进行了研究、绩效评估。按照《中央办公厅 国务院办公厅〈关于深化交通运输综合行政执法改革的指导意见〉的通知》（中办发〔2018〕63号）、《关于进一步加强货车超限超载治理工作确保全区公路运输秩序和交通安全有关事宜的通告》（新政办函〔2019〕176号）、文件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单位通过对项目的功能进行梳理，包括资金性质、预期投入、支出范围、实施内容、工作任务、收益对象等明确了项目的功能特性，根据以前年度项目完成情况，收集相关基准数据，确定绩效目标，并结合项目预期进展、预计投入等情况，确定绩效指标具体数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单位在编制预算工作之前，首先明确预算编制责任人、工作流程，在预算编制过程中，收集了相关的数据和资料，包括历年绩效目标完成数值、财务数据、单位工作计划等，对项目支出总体目标进行细化分解，根据项目总目标实现程度制定的绩效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项目过程管理类指标由7个二级指标和7个三级指标构成，权重分20分，实际得分20分。具体如下：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130.68万元，到位资金130.68万元，实际支出资金98.26万元，资金到位率100.00%，预算执行率100.00%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该项目资金使用合规，符合国家财经法规和财务管理制度以及有关专项资金管理办法的规定，资金支付均具有完整的审批程序和手续，与预算批复内容相符，不存在截留、挤占、挪用、虚列支出等情况。我单位研究并制定了《项目资金管理办法》，明确规范资金计划的编制、资金使用及监督管理等程序。尤其针对项目资金按预算支付，强化支队各部门职责，加强项目资金预算编制，及对项目执行的监督，以确保项目制定科学、实施到位、专款专用、发挥有限资金的最大效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根据我单位《项目资金管理办法》，合理设置岗位，明确相关岗位的职责权限，确保编制、审批、执行等不相容岗位相互分离。项目资金收入和各项支出应当纳入预算统一管理，统筹安排使用。财务人员依据批复专项资金的用途使用预算资金，合理安排单位各项支出，对项目支出应当严格控制，保证预算资金使用的合法合规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项目产出类指标由3个二级指标和3个三级指标构成，权重分20分，实际得分20。具体如下：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“2025年本单位办理案件数”指标，预期指标值为≤400件，指标完成值为542件，完成率为100%，分值5分，得分5分。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“2025年本单位路政破案率”指标，预期指标值为≥90%，指标完成值为100%，完成率为100%，分值5分，得分5分。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“2025年本单位路政事案办结率”指标，预期指标值为≥90%，指标完成值为100%，完成率为100%，分值10分，得分10分。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“群众对执法办案行为满意度”指标，预期指标值为≥90%，指标完成值为100%，完成率为100%，分值10分，得分10分。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由执法科、法制科、人事科、办公室、督查科负责管理实施，检查预算支出情况，按预算进度在规定的用途和范围内有效执行，严格按照专项经费的用途和相关合同条款，加强资金的管理和使用，由相关科室配合共同审核项目资金支出，严格把关，保证支出票据的真实性、合法性、有效性和完整性，并及时按项目实施进度做好资金的申报、划拨和财务结算等工作，确保“专款专用”，推动各项工作再上新台阶。我们将继续加大资金使用监管力度，强化组织领导，细化工作任务，落实资金监管，解决工作中因经费不足存在的问题，保障各项工作的正常开展，逐步完善公路服务设施，保障公路的安全、完好、畅通。（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1.对绩效评价工作的认识和重视程度还有待加强。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2.绩效评价工作与交通运输综合行政执法工作衔接结合还有待进一步加强。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3.根据绩效管理结果整改问题、完善政策、改进管理有待加强。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4.年初预算编制需要更科学、合理。</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1.坚持“稳中求进”，专款专用，进一步加大对公路管理项目预算的监管，使资金充分发挥作用，在项目实施时，将资金按照时间节点进行分配，确保资金的使用规矩到位，合理合规。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2.设置绩效目标时，要充分考虑实际情况，建立科学合理的绩效目标指标体系，同时要合理确定指标权重，确保评价的公正性和准确性。</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53F1643"/>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2026-09-02T04:29:43Z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