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40" w:lineRule="exact"/>
        <w:jc w:val="left"/>
        <w:rPr>
          <w:rFonts w:ascii="仿宋" w:hAnsi="仿宋" w:eastAsia="仿宋" w:cs="宋体"/>
          <w:kern w:val="0"/>
          <w:sz w:val="32"/>
          <w:szCs w:val="32"/>
        </w:rPr>
      </w:pPr>
      <w:r>
        <w:rPr>
          <w:rFonts w:hint="eastAsia" w:ascii="仿宋" w:hAnsi="仿宋" w:eastAsia="仿宋" w:cs="宋体"/>
          <w:kern w:val="0"/>
          <w:sz w:val="32"/>
          <w:szCs w:val="32"/>
        </w:rPr>
        <w:t>附件2：</w:t>
      </w: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华文中宋" w:hAnsi="华文中宋" w:eastAsia="华文中宋" w:cs="宋体"/>
          <w:b/>
          <w:kern w:val="0"/>
          <w:sz w:val="52"/>
          <w:szCs w:val="52"/>
        </w:rPr>
      </w:pPr>
    </w:p>
    <w:p>
      <w:pPr>
        <w:spacing w:line="540" w:lineRule="exact"/>
        <w:jc w:val="center"/>
        <w:rPr>
          <w:rFonts w:ascii="方正小标宋_GBK" w:hAnsi="华文中宋" w:eastAsia="方正小标宋_GBK" w:cs="宋体"/>
          <w:b/>
          <w:kern w:val="0"/>
          <w:sz w:val="48"/>
          <w:szCs w:val="48"/>
        </w:rPr>
      </w:pPr>
      <w:r>
        <w:rPr>
          <w:rFonts w:hint="eastAsia" w:ascii="方正小标宋_GBK" w:hAnsi="华文中宋" w:eastAsia="方正小标宋_GBK" w:cs="宋体"/>
          <w:b/>
          <w:kern w:val="0"/>
          <w:sz w:val="48"/>
          <w:szCs w:val="48"/>
        </w:rPr>
        <w:t>自治区财政项目支出绩效自评报告</w:t>
      </w:r>
    </w:p>
    <w:p>
      <w:pPr>
        <w:spacing w:line="540" w:lineRule="exact"/>
        <w:jc w:val="center"/>
        <w:rPr>
          <w:rFonts w:ascii="华文中宋" w:hAnsi="华文中宋" w:eastAsia="华文中宋" w:cs="宋体"/>
          <w:b/>
          <w:kern w:val="0"/>
          <w:sz w:val="52"/>
          <w:szCs w:val="52"/>
        </w:rPr>
      </w:pPr>
    </w:p>
    <w:p>
      <w:pPr>
        <w:spacing w:line="540" w:lineRule="exact"/>
        <w:jc w:val="center"/>
        <w:rPr>
          <w:rFonts w:hAnsi="宋体" w:eastAsia="仿宋_GB2312" w:cs="宋体"/>
          <w:kern w:val="0"/>
          <w:sz w:val="36"/>
          <w:szCs w:val="36"/>
        </w:rPr>
      </w:pPr>
      <w:r>
        <w:rPr>
          <w:rFonts w:hint="eastAsia" w:hAnsi="宋体" w:eastAsia="仿宋_GB2312" w:cs="宋体"/>
          <w:kern w:val="0"/>
          <w:sz w:val="36"/>
          <w:szCs w:val="36"/>
        </w:rPr>
        <w:t xml:space="preserve">（   </w:t>
      </w:r>
      <w:r>
        <w:rPr>
          <w:rStyle w:val="17"/>
          <w:rFonts w:hint="eastAsia" w:ascii="楷体" w:hAnsi="楷体" w:eastAsia="楷体"/>
          <w:spacing w:val="-4"/>
          <w:sz w:val="32"/>
          <w:szCs w:val="32"/>
        </w:rPr>
        <w:t>2025</w:t>
      </w:r>
      <w:r>
        <w:rPr>
          <w:rFonts w:hint="eastAsia" w:hAnsi="宋体" w:eastAsia="仿宋_GB2312" w:cs="宋体"/>
          <w:kern w:val="0"/>
          <w:sz w:val="36"/>
          <w:szCs w:val="36"/>
        </w:rPr>
        <w:t xml:space="preserve">  年度）</w:t>
      </w: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ascii="方正小标宋_GBK" w:hAnsi="宋体" w:eastAsia="方正小标宋_GBK" w:cs="宋体"/>
          <w:kern w:val="0"/>
          <w:sz w:val="36"/>
          <w:szCs w:val="36"/>
        </w:rPr>
      </w:pPr>
      <w:bookmarkStart w:id="0" w:name="_GoBack"/>
      <w:bookmarkEnd w:id="0"/>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jc w:val="center"/>
        <w:rPr>
          <w:rFonts w:hAnsi="宋体" w:eastAsia="仿宋_GB2312" w:cs="宋体"/>
          <w:kern w:val="0"/>
          <w:sz w:val="30"/>
          <w:szCs w:val="30"/>
        </w:rPr>
      </w:pPr>
    </w:p>
    <w:p>
      <w:pPr>
        <w:spacing w:line="540" w:lineRule="exact"/>
        <w:rPr>
          <w:rFonts w:hAnsi="宋体" w:eastAsia="仿宋_GB2312" w:cs="宋体"/>
          <w:kern w:val="0"/>
          <w:sz w:val="30"/>
          <w:szCs w:val="30"/>
        </w:rPr>
      </w:pPr>
    </w:p>
    <w:p>
      <w:pPr>
        <w:spacing w:line="700" w:lineRule="exact"/>
        <w:jc w:val="left"/>
        <w:rPr>
          <w:rFonts w:hAnsi="宋体" w:eastAsia="仿宋_GB2312" w:cs="宋体"/>
          <w:kern w:val="0"/>
          <w:sz w:val="36"/>
          <w:szCs w:val="36"/>
        </w:rPr>
      </w:pPr>
      <w:r>
        <w:rPr>
          <w:rFonts w:hint="eastAsia" w:hAnsi="宋体" w:eastAsia="仿宋_GB2312" w:cs="宋体"/>
          <w:kern w:val="0"/>
          <w:sz w:val="36"/>
          <w:szCs w:val="36"/>
        </w:rPr>
        <w:t xml:space="preserve">     </w:t>
      </w:r>
    </w:p>
    <w:p>
      <w:pPr>
        <w:spacing w:line="700" w:lineRule="exact"/>
        <w:ind w:firstLine="900" w:firstLineChars="250"/>
        <w:jc w:val="left"/>
        <w:rPr>
          <w:rFonts w:hAnsi="宋体" w:eastAsia="仿宋_GB2312" w:cs="宋体"/>
          <w:kern w:val="0"/>
          <w:sz w:val="36"/>
          <w:szCs w:val="36"/>
        </w:rPr>
      </w:pPr>
      <w:r>
        <w:rPr>
          <w:rFonts w:hint="eastAsia" w:hAnsi="宋体" w:eastAsia="仿宋_GB2312" w:cs="宋体"/>
          <w:kern w:val="0"/>
          <w:sz w:val="36"/>
          <w:szCs w:val="36"/>
        </w:rPr>
        <w:t>项目名称：</w:t>
      </w:r>
      <w:r>
        <w:rPr>
          <w:rStyle w:val="17"/>
          <w:rFonts w:hint="eastAsia" w:ascii="楷体" w:hAnsi="楷体" w:eastAsia="楷体"/>
          <w:spacing w:val="-4"/>
          <w:sz w:val="32"/>
          <w:szCs w:val="32"/>
        </w:rPr>
        <w:t>公路管理</w:t>
      </w:r>
    </w:p>
    <w:p>
      <w:pPr>
        <w:spacing w:line="540" w:lineRule="exact"/>
        <w:ind w:firstLine="567"/>
        <w:rPr>
          <w:rFonts w:ascii="楷体" w:hAnsi="楷体" w:eastAsia="楷体"/>
          <w:b/>
          <w:bCs/>
          <w:spacing w:val="-4"/>
          <w:sz w:val="32"/>
          <w:szCs w:val="32"/>
        </w:rPr>
      </w:pPr>
      <w:r>
        <w:rPr>
          <w:rFonts w:hint="eastAsia" w:hAnsi="宋体" w:eastAsia="仿宋_GB2312" w:cs="宋体"/>
          <w:kern w:val="0"/>
          <w:sz w:val="36"/>
          <w:szCs w:val="36"/>
        </w:rPr>
        <w:t xml:space="preserve">  实施单位（公章）：</w:t>
      </w:r>
      <w:r>
        <w:rPr>
          <w:rStyle w:val="17"/>
          <w:rFonts w:hint="eastAsia" w:ascii="楷体" w:hAnsi="楷体" w:eastAsia="楷体"/>
          <w:spacing w:val="-4"/>
          <w:sz w:val="28"/>
          <w:szCs w:val="28"/>
        </w:rPr>
        <w:t>新疆维吾尔自治区交通运输综合行政执法局乌鲁木齐执法支队</w:t>
      </w:r>
    </w:p>
    <w:p>
      <w:pPr>
        <w:spacing w:line="540" w:lineRule="exact"/>
        <w:ind w:firstLine="900" w:firstLineChars="250"/>
        <w:rPr>
          <w:rFonts w:ascii="楷体" w:hAnsi="楷体" w:eastAsia="楷体"/>
          <w:b/>
          <w:bCs/>
          <w:spacing w:val="-4"/>
          <w:sz w:val="28"/>
          <w:szCs w:val="28"/>
        </w:rPr>
      </w:pPr>
      <w:r>
        <w:rPr>
          <w:rFonts w:hint="eastAsia" w:hAnsi="宋体" w:eastAsia="仿宋_GB2312" w:cs="宋体"/>
          <w:kern w:val="0"/>
          <w:sz w:val="36"/>
          <w:szCs w:val="36"/>
        </w:rPr>
        <w:t>主管部门（公章）：</w:t>
      </w:r>
      <w:r>
        <w:rPr>
          <w:rStyle w:val="17"/>
          <w:rFonts w:hint="eastAsia" w:ascii="楷体" w:hAnsi="楷体" w:eastAsia="楷体"/>
          <w:spacing w:val="-4"/>
          <w:sz w:val="28"/>
          <w:szCs w:val="28"/>
        </w:rPr>
        <w:t>新疆维吾尔自治区交通运输综合行政执法局乌鲁木齐执法支队</w:t>
      </w:r>
    </w:p>
    <w:p>
      <w:pPr>
        <w:spacing w:line="540" w:lineRule="exact"/>
        <w:ind w:firstLine="900" w:firstLineChars="250"/>
        <w:rPr>
          <w:rFonts w:ascii="楷体" w:hAnsi="楷体" w:eastAsia="楷体"/>
          <w:b/>
          <w:bCs/>
          <w:spacing w:val="-4"/>
          <w:sz w:val="32"/>
          <w:szCs w:val="32"/>
        </w:rPr>
      </w:pPr>
      <w:r>
        <w:rPr>
          <w:rFonts w:hint="eastAsia" w:hAnsi="宋体" w:eastAsia="仿宋_GB2312" w:cs="宋体"/>
          <w:kern w:val="0"/>
          <w:sz w:val="36"/>
          <w:szCs w:val="36"/>
        </w:rPr>
        <w:t>项目负责人（签章）：</w:t>
      </w:r>
      <w:r>
        <w:rPr>
          <w:rStyle w:val="17"/>
          <w:rFonts w:hint="eastAsia" w:ascii="楷体" w:hAnsi="楷体" w:eastAsia="楷体"/>
          <w:spacing w:val="-4"/>
          <w:sz w:val="32"/>
          <w:szCs w:val="32"/>
        </w:rPr>
        <w:t>刘俊珊</w:t>
      </w:r>
    </w:p>
    <w:p>
      <w:pPr>
        <w:spacing w:line="540" w:lineRule="exact"/>
        <w:ind w:left="273" w:firstLine="567"/>
        <w:rPr>
          <w:rStyle w:val="17"/>
          <w:rFonts w:ascii="楷体" w:hAnsi="楷体" w:eastAsia="楷体"/>
          <w:spacing w:val="-4"/>
          <w:sz w:val="32"/>
          <w:szCs w:val="32"/>
        </w:rPr>
      </w:pPr>
      <w:r>
        <w:rPr>
          <w:rFonts w:hint="eastAsia" w:hAnsi="宋体" w:eastAsia="仿宋_GB2312" w:cs="宋体"/>
          <w:kern w:val="0"/>
          <w:sz w:val="36"/>
          <w:szCs w:val="36"/>
        </w:rPr>
        <w:t>填报时间：</w:t>
      </w:r>
      <w:r>
        <w:rPr>
          <w:rStyle w:val="17"/>
          <w:rFonts w:hint="eastAsia" w:ascii="楷体" w:hAnsi="楷体" w:eastAsia="楷体"/>
          <w:spacing w:val="-4"/>
          <w:sz w:val="32"/>
          <w:szCs w:val="32"/>
        </w:rPr>
        <w:t>2026年03月13日</w:t>
      </w:r>
    </w:p>
    <w:p>
      <w:pPr>
        <w:spacing w:line="700" w:lineRule="exact"/>
        <w:ind w:firstLine="708" w:firstLineChars="236"/>
        <w:jc w:val="left"/>
        <w:rPr>
          <w:rFonts w:hAnsi="宋体" w:eastAsia="仿宋_GB2312" w:cs="宋体"/>
          <w:kern w:val="0"/>
          <w:sz w:val="30"/>
          <w:szCs w:val="30"/>
        </w:rPr>
      </w:pPr>
    </w:p>
    <w:p>
      <w:pPr>
        <w:spacing w:line="540" w:lineRule="exact"/>
        <w:rPr>
          <w:rStyle w:val="17"/>
          <w:rFonts w:ascii="黑体" w:hAnsi="黑体" w:eastAsia="黑体"/>
          <w:b w:val="0"/>
          <w:spacing w:val="-4"/>
          <w:sz w:val="32"/>
          <w:szCs w:val="32"/>
        </w:rPr>
      </w:pP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一、基本情况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（一）项目概况。包括项目背景、主要内容及实施情况、资金投入和使用情况等。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项目背景:新疆维吾尔自治区交通运输综合行政执法局乌鲁木齐执法支队是新疆维吾尔自治区交通运输综合行政执法局下属的全额拨款事业单位。工作职责是依法做好公路保护，采用科学的管理方法和先进的技术手段，提高公路管理水平，逐步完善公路服务设施，保障公路的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立项目的:乌鲁木齐执法支队依据《中华人民共和国公路法》、《公路安全保护条例》、《新疆维吾尔自治区实施〈中华人民共和国公路法〉办法》等文件，为全面做好综合行政执法各项工作，申请公路管理预算，其中包含综合行政执法工作经费项目、治超站运行费等，以确保执法人员能够正常、安全地开展业务工作，为新疆社会稳定、经济发展作出应有的贡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主要内容及实施情况:按照自治区交通运输综合行政执法局主要职责及乌鲁木齐执法支队工作计划完成路政管理既定工作任务。确保路政管理、治理超限超载管理工作正常开展。确保3个超限检测站路警联合治理超限超载工作平稳开展；所辖3个执法大队加大路域环境整治力度，依法治理违法行为，做好公路路域的预防性管理工作。依法做好路政执法、超限超载监督工作，严格履行路政管理职责，确保公路路产路权不受侵犯，维护公路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4.资金投入和使用情况:2025年公路管理项目预算安排总额为177.44万元，其中财政资金177.44万元，其他资金0万元，2025年实际收到预算资金177.44万元，预算资金到位率为100%。</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本项目实际支付资金177.44万元，预算执行率100%。项目资金主要用于支付综合行政执法工作经费133.24万元，执法巡查工作经费44.20万元。</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（二）项目绩效目标。包括总体目标和阶段性目标。</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总体目标：按照自治区交通运输综合行政执法局主要职责及乌鲁木齐执法支队2025年工作计划完成路政管理既定工作任务。确保路政管理、治理超限超载管理工作正常开展。确保3个超限检测站路警联合治理超限超载工作平稳开展；所辖3个执法大队加大路域环境整治力度，依法治理违法行为，做好公路路域的预防性管理工作。依法做好路政执法、超限超载监督工作，严格履行路政管理职责，确保公路路产路权不受侵犯，维护公路完好、安全、畅通。</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阶段性目标：根据《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项目实施单位的规章制度以及财务相关资料，对项目阶段性成果进行评价。通过在5月底、8月底两个节点监控项目执行情况，提升预算执行质量。</w:t>
      </w:r>
    </w:p>
    <w:p>
      <w:pPr>
        <w:spacing w:line="540" w:lineRule="exact"/>
        <w:ind w:firstLine="640"/>
        <w:rPr>
          <w:rStyle w:val="17"/>
          <w:rFonts w:ascii="黑体" w:hAnsi="黑体" w:eastAsia="黑体"/>
          <w:b w:val="0"/>
          <w:spacing w:val="-4"/>
          <w:sz w:val="32"/>
          <w:szCs w:val="32"/>
        </w:rPr>
      </w:pPr>
      <w:r>
        <w:rPr>
          <w:rStyle w:val="17"/>
          <w:rFonts w:hint="eastAsia" w:ascii="黑体" w:hAnsi="黑体" w:eastAsia="黑体"/>
          <w:b w:val="0"/>
          <w:spacing w:val="-4"/>
          <w:sz w:val="32"/>
          <w:szCs w:val="32"/>
        </w:rPr>
        <w:t>二、</w:t>
      </w:r>
      <w:r>
        <w:rPr>
          <w:rStyle w:val="17"/>
          <w:rFonts w:hint="eastAsia"/>
          <w:spacing w:val="-4"/>
          <w:sz w:val="32"/>
          <w:szCs w:val="32"/>
        </w:rPr>
        <w:t>绩效评价工作开展情况</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（一）绩效评价目的、对象和范围。</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的目的：为全面了解该项目预算编制合理性、资金使用合规性、项目管理的规范性、项目目标的实现情况、服务对象的满意度等，通过本次部门绩效评价来总结经验和教训，促进项目成果转化和应用，为今后类似项目的长效管理，提供可行性参考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2.绩效评价的对象和范围：乌鲁木齐执法支队根据《财政支出绩效评价管理暂行办法》（财预〔2020〕10号）文件要求对2025年度我单位实施的公路管理项目开展部门绩效评价，项目总金额177.44万元。</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本次绩效评价主要围绕项目资金使用情况、财务管理状况和资产配置、使用、处置及其收益管理情况；项目管理相关制度及措施是否被认真执行；绩效目标的实现程度，包括是否达到预定产出和效果等方面进行部门绩效评价。</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（二）绩效评价原则、评价指标体系（附表说明）、评价方法、评价标准等。</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1.绩效评价原则：依据《预算法》、《中共中央国务院关于全面实施预算绩效管理的意见》（中发〔2018〕34号）、《自治区党委自治区人民政府关于全面实施预算绩效管理的实施意见》（新党发〔2018〕30号）、《自治区财政支出绩效评价管理暂行办法》（新财预〔2018〕189号）等要求，本次绩效评价秉承科学规范、公正公开、分级分类、绩效相关等原则，按照从投入、过程到产出效果和影响的绩效逻辑路径，结合公路管理项目实际开展情况，运用定量和定性分析相结合的方法，总结经验做法，反思项目实施和管理中的问题，以切实提升财政资金管理的科学化、规范化和精细化水平。</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根据以上原则，绩效评价应遵循如下要求：</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（1）在数据采集时，采取客观数据，主管部门审查、社会中介组织复查，与问卷调查相结合的形式，以保证各项指标的真实性。</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（2）保证评价结果的真实性、公正性，提高评价报告的公信力。</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（3）绩效评价报告应当简明扼要，除了对绩效评价的过程、结果描述外，还应总结经验，指出问题，并就共性问题提出可操作性改进建议。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2.绩效评价指标体系：我单位根据项目的实施资料研读及前期调研，结合项目的实际开展情况，将项目的指标体系进行了调整和完善，最终形成了项目绩效评价指标体系。</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3.评价方法：评价方法采用比较法，将项目实施情况与绩效目标进行比较，把项目实际完成指标情况与年度指标值进行对比，形成评价结果。</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正确的评价方法是评价工作顺利开展的保障，在结合实际项目经验的情况下，绩效评价小组根据该项目资金的性质和特点，选用比较法、因素分析法、公众评判法以及文献法对项目进行评价，旨在通过综合分析影响绩效目标实现、实施效果的内外部因素，从而评价本项目绩效。三级指标分析环节：总体采用比较法，同时辅以文献法、成本效益法、因素分析法以及公众评判法，根据不同三级指标类型进行逐项分析。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（1）定量指标分析环节：主要采用比较法，对比三级指标预期指标值和三级指标截至评价日的完成情况，综合分析绩效目标实现程度。详细评价方法的应用如下: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一般量化统计类等定量指标：通过对比实际完成值和预期指标值，达成预期指标值的，记该指标所赋全部分值；对完成值高于指标值较多的，要分析原因，如果是由于年初指标值设定明显偏低造成的，要按照偏离度适度调减分值；未完成指标值的，按照完成值与指标值的比例记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属于“是”或“否”判断的单一评判定量指标：比较法，符合要求的得满分，不符合要求的不得分或者扣相应的分数。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满意度指标：主要采用比较法，根据满意度问卷统计情况计算完成比率与预期指标值对比，达成满意度预期目标的，得满分；未完成指标值的，按照完成值与预期指标值的比例记分；满意度小于 60%不得分。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（2）定性指标分析环节：主要采用公众评判法，通过问卷及抽样调查等方式评价本项目实施后社会公众对于其实施效果的满意程度，将调研结果按照《项目支出绩效评价管理办法》（财预〔2020〕10 号）《关于印发&lt;自治区项目支出绩效目标设置指引&gt;的通知）（新财预〔2022〕42 号）文件要求分为基本达成目标、部分实现目标、实现目标程度较低三档，分别按照该指标对应分值区间 100.00%-80%（含）、80%-60%（含）、60%-0%合理确定分值，详细评价方法的应用如下：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立项依据充分性：比较法和文献法，查找法律法规政策以及规划，对比实际执行内容和政策支持内容是否匹配，分析立项依据充分性。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立项程序规范性：比较法和文献法，查找相关项目设立的政策和文件要求，对比分析实际执行程序是否按照政策及文件要求执行，分析立项程序的规范性。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绩效目标合理性：比较法和因素分析法，对比分析年初编制项目支出绩效目标表与项目内容的相关性、资金的匹配性等。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绩效指标明确性：比较法和因素分析法，比较分析年初编制项目支出绩效目标表是否符合相关原则，是否可衡量。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预算编制科学性：专项转移支付资金分配采取因素分析法，应当主要选取自然、经济、社会、绩效等客观因素，并在资金管理办法中明确相应的权重或标准。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资金分配合理性：因素分析法，综合分析资金的分配依据是否充分，分配金额是否与项目实施单位需求金额一致。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资金到位率：比较法和因素分析法，项目完成且资金到位数满足年度预算规模需求，得4分；项目尚未完成，资金到位率小于 100.00%且大于等于 80.00%的得2.5分，资金到位率小于 80.00%且大于等于 60.00%的得1.50分，资金到位率小于 60.00%的不得分，并分析实际完成值和预期指标值之间的差距和原因。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预算执行率：比较法和因素分析法，项目完成且执行数控制在年度预算规模之内的，得 4 分；项目尚未完成，预算执行率小于 100.00%且大于等于80.00%的 2.5分，预算执行率小于 80.00%且大于等于 60.00%的得1.5分，预算执行率小于 60.00%的不得分，并分析实际完成值和预期指标值之间的差距和原因。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资金使用合规性：比较法、文献法和因素分析法等，通过实地调研，检查项目资金使用情况，对比专项资金管理办法要求，分析资金使用合规性。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管理制度健全性：文献法、比较法和因素分析法等，通过查阅项目实施单位提供的财务和业务管理制度，将已建立的制度与现行的法律法规和政策要求进行对比，分析项目制度的合法性、合规性、完整性。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制度执行有效性：比较法，结合项目实际实施过程性文件，根据已建设的财务管理制度和项目管理制度综合分析制度执行的有效性。 </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其他定性指标：公众评判法，通过问卷及抽样调查等方式评价本项目实施后社会公众对于其实施效果的满意程度。</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4.评价标准：绩效评价标准通常包括计划标准、行业标准、历史标准等。本次绩效评价采用计划标准，以预先制定的目标、计划、预算、定额等作为评价标准，对比分析项目产出、效益的完成情况。对于定性指标，通过采集相关数据，运用等级描述法，设置分级标准，体现该指标认可程度的差异。对于定量指标，通过公式计算、数据统计等方式予以量化，可以准确衡量，并设定目标值的考核指标。</w:t>
      </w:r>
    </w:p>
    <w:p>
      <w:pPr>
        <w:spacing w:line="540" w:lineRule="exact"/>
        <w:ind w:firstLine="567" w:firstLineChars="181"/>
        <w:rPr>
          <w:rStyle w:val="17"/>
          <w:rFonts w:ascii="楷体" w:hAnsi="楷体" w:eastAsia="楷体"/>
          <w:spacing w:val="-4"/>
          <w:sz w:val="32"/>
          <w:szCs w:val="32"/>
        </w:rPr>
      </w:pPr>
      <w:r>
        <w:rPr>
          <w:rStyle w:val="17"/>
          <w:rFonts w:hint="eastAsia" w:ascii="楷体" w:hAnsi="楷体" w:eastAsia="楷体"/>
          <w:spacing w:val="-4"/>
          <w:sz w:val="32"/>
          <w:szCs w:val="32"/>
        </w:rPr>
        <w:t>（三）绩效评价工作过程。</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本次评价成立了由专业绩效评价工作人员组成的评价工作组，充分按工作要求考虑人员结构、业务能力、利益关系回避等情况，并同步建立项目人员联系清单，成员如下：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（1）评价组组长：刘俊珊，职责：副支队长，工作内容：指导、监督、综合检查。统一部署和管理绩效考核工作，对考核结果进行审核，促进整体绩效目标的达成和提高；</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（2）评价组成员：丁琴，职责：办公室副主任，工作内容：严格按照2024年预算要求严格执行；对项目支出绩效自评结果进行汇总填报，提供必要的反馈和指导；</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（3）评价组成员：赵俊、施锋、艾力？阿不都热合曼、陆英、陈亮、李风霞、金辉、魏文洁、牛新军。职责：严格按照2025年批复预算内容要求，严格监督实施。</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此次绩效评价工作成立评价工作组，通过收集查看项目相关文件材料，查阅其他书面材料、实施情况，预算执行情况等，并按照评价指标、评价标准和评价规则对决策、过程、产出、效益和满意度五个方面进行评价，通过汇总平均，得出项目考评的综合评价得分，同时形成综合评价意见。</w:t>
      </w:r>
    </w:p>
    <w:p>
      <w:pPr>
        <w:spacing w:line="540" w:lineRule="exact"/>
        <w:ind w:firstLine="640"/>
        <w:rPr>
          <w:rStyle w:val="17"/>
          <w:rFonts w:hint="eastAsia" w:ascii="黑体" w:hAnsi="黑体" w:eastAsia="黑体"/>
          <w:b w:val="0"/>
          <w:spacing w:val="-4"/>
          <w:sz w:val="32"/>
          <w:szCs w:val="32"/>
        </w:rPr>
      </w:pPr>
      <w:r>
        <w:rPr>
          <w:rStyle w:val="17"/>
          <w:rFonts w:hint="eastAsia" w:ascii="黑体" w:hAnsi="黑体" w:eastAsia="黑体"/>
          <w:b w:val="0"/>
          <w:spacing w:val="-4"/>
          <w:sz w:val="32"/>
          <w:szCs w:val="32"/>
        </w:rPr>
        <w:t>三、</w:t>
      </w:r>
      <w:r>
        <w:rPr>
          <w:rStyle w:val="17"/>
          <w:rFonts w:hint="eastAsia"/>
          <w:spacing w:val="-4"/>
          <w:sz w:val="32"/>
          <w:szCs w:val="32"/>
        </w:rPr>
        <w:t>综合评价情况及评价结论</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此次绩效评价通过组论证的评价指标体系及评分标准，采用的方法为比较法，公路管理项目绩效进行客观评价，最终评分结果：总分为100分，其中：项目决策20分、过程管理20分、项目产出20分、项目成本10分、项目效益指标20分、满意度指标10分。绩效评级为“优”。</w:t>
      </w:r>
    </w:p>
    <w:p>
      <w:pPr>
        <w:spacing w:line="540" w:lineRule="exact"/>
        <w:ind w:firstLine="640"/>
        <w:rPr>
          <w:rStyle w:val="17"/>
          <w:rFonts w:ascii="黑体" w:hAnsi="黑体" w:eastAsia="黑体"/>
        </w:rPr>
      </w:pPr>
      <w:r>
        <w:rPr>
          <w:rStyle w:val="17"/>
          <w:rFonts w:hint="eastAsia" w:ascii="黑体" w:hAnsi="黑体" w:eastAsia="黑体"/>
          <w:b w:val="0"/>
          <w:spacing w:val="-4"/>
          <w:sz w:val="32"/>
          <w:szCs w:val="32"/>
        </w:rPr>
        <w:t>四、</w:t>
      </w:r>
      <w:r>
        <w:rPr>
          <w:rStyle w:val="17"/>
          <w:rFonts w:hint="eastAsia"/>
          <w:spacing w:val="-4"/>
          <w:sz w:val="32"/>
          <w:szCs w:val="32"/>
        </w:rPr>
        <w:t>绩效评价指标分析</w:t>
      </w:r>
      <w:r>
        <w:rPr>
          <w:rStyle w:val="17"/>
          <w:rFonts w:hint="eastAsia" w:ascii="黑体" w:hAnsi="黑体" w:eastAsia="黑体"/>
          <w:b w:val="0"/>
          <w:spacing w:val="-4"/>
          <w:sz w:val="32"/>
          <w:szCs w:val="32"/>
        </w:rPr>
        <w:t xml:space="preserve"> </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（一）项目决策情况。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项目决策由3个二级指标和6个三级指标构成，权重分20分，实际得分20分。具体如下：</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立项分值5分，得分5分。其中：立项依据充分性分值2分，得分2分；立项程序规范性分值3分，得分3分。该项目符合国家法律法规、国民经济发展规划和相关政策，根据《关于批复2025年度部门预算的通知》（新交执法财审〔2024〕1号）立项，符合行业发展规划和政策要求，与部门职责范围相符，属于部门履职所需，属于公共财政支持范围，符合中央、地方事权支出责任划分原则，该项目进行了可行性研究、专家论证、风险评估、绩效评估。按照规定的程序申请设立，审批文件、材料符合相关要求，没有重复立项，立项依据充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绩效目标分值10分，得分10分。其中：绩效目标合理性分值5分，得分5分；绩效指标明确性分值5分，得分5分。该项目设置了绩效目标，且绩效目标与实际工作内容具有相关性，项目预期产出效益和效果符合正常的业绩水平，与预算确定的项目投资额或资金量相匹配，根据支队日常开展的行政执法工作及公路管理项目内容具体实施。项目绩效指标目标明确，将项目绩效目标细化分解为具体的绩效指标，通过清晰、可衡量的指标值予以体现，与项目目标任务数或计划数相对应。</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资金投入分值5分，得分5分。其中预算编制科学性分值2分，得分2分；资金分配合理性分值3分，得分3分。该项目预算编制合理，经过科学论证，预算内容与项目内容相匹配，预算额度按照标准编制，测算依据充分，预算确定的项目投资额或资金量与工作任务相匹配，预算资金分配依据充分，资金分配额度合理，与实际相适应。所有收入和支出均纳入部门预算管理，做到量入为出，以收定支、专款专用，收支基本保持平衡，预算执行完毕。</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（二）项目过程情况。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过程管理类指标由3个二级指标和5个三级指标构成，权重分20分，实际得分20分。具体如下：资金管理分值12分，得分12分。其中资金到位率分值4分，得分4分；预算执行率分值4分，得分4分；资金使用合规性分值4分，得分4分。该项目预算资金177.44万元，到位资金177.44万元，实际支出资金177.44元，资金到位率100%，预算执行率100%。资金使用合规，符合国家财经法规和财务管理制度以及有关专项资金管理办法的规定，资金支付均具有完整的审批程序和手续，与预算批复内容相符，不存在截留、挤占、挪用、虚列支出等情况。将资金按照时间节点进行分配，确保资金的使用规矩到位，合理合规。继续加强资金使用监管力度，坚持“稳中求进”，专款专用。</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 xml:space="preserve"> 组织实施分值8分，得分8分。其中管理制度健全性分值4分，得分4分；制度执行有效性分值4分，得分4分。该项目财务和业务管理制度健全，且合法、合规、完整，制度执行遵守相关法律法规和相关管理规定，项目调整及支出调整手续完备，项目合同书、验收报告、技术鉴定等资料齐全并及时归档，项目实施的人员条件、场地设备、信息支撑等落实到位。</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（三）项目产出情况。</w:t>
      </w:r>
    </w:p>
    <w:p>
      <w:pPr>
        <w:spacing w:line="540" w:lineRule="exact"/>
        <w:ind w:firstLine="567"/>
        <w:rPr>
          <w:rStyle w:val="17"/>
          <w:rFonts w:ascii="楷体" w:hAnsi="楷体" w:eastAsia="楷体"/>
          <w:spacing w:val="-4"/>
          <w:sz w:val="32"/>
          <w:szCs w:val="32"/>
        </w:rPr>
      </w:pPr>
      <w:r>
        <w:rPr>
          <w:rStyle w:val="17"/>
          <w:rFonts w:hint="eastAsia" w:ascii="楷体" w:hAnsi="楷体" w:eastAsia="楷体"/>
          <w:spacing w:val="-4"/>
          <w:sz w:val="32"/>
          <w:szCs w:val="32"/>
        </w:rPr>
        <w:t>项目产出类指标由3个二级指标和4个三级指标构成，权重分20分，实际得分20分。具体如下：    ①</w:t>
      </w:r>
      <w:r>
        <w:rPr>
          <w:rStyle w:val="17"/>
          <w:rFonts w:hint="eastAsia" w:ascii="楷体" w:hAnsi="楷体" w:eastAsia="楷体"/>
          <w:spacing w:val="-4"/>
          <w:sz w:val="32"/>
          <w:szCs w:val="32"/>
        </w:rPr>
        <w:tab/>
        <w:t>数量指标  “2025年本单位办理案件数”指标，预期指标值为＞=200个，指标完成值为200个，完成率为100%，分值7分，得分7分。    ②</w:t>
      </w:r>
      <w:r>
        <w:rPr>
          <w:rStyle w:val="17"/>
          <w:rFonts w:hint="eastAsia" w:ascii="楷体" w:hAnsi="楷体" w:eastAsia="楷体"/>
          <w:spacing w:val="-4"/>
          <w:sz w:val="32"/>
          <w:szCs w:val="32"/>
        </w:rPr>
        <w:tab/>
        <w:t>质量指标   “2025年本单位路政事案办结率”指标，预期指标值为＞=95% ，指标完成值为95% ，完成率为100%，分值4分，得分4分。   “2025年本单位路政事案破案率”指标，预期指标值为＞=95% ，指标完成值为95% ，完成率为100%，分值3分，得分3分。    ③</w:t>
      </w:r>
      <w:r>
        <w:rPr>
          <w:rStyle w:val="17"/>
          <w:rFonts w:hint="eastAsia" w:ascii="楷体" w:hAnsi="楷体" w:eastAsia="楷体"/>
          <w:spacing w:val="-4"/>
          <w:sz w:val="32"/>
          <w:szCs w:val="32"/>
        </w:rPr>
        <w:tab/>
        <w:t>时效指标  “2025年本单位路政事案办理时限达标率”指标，预期指标值＞=95% ，指标完成值为95% ，完成率为100%，分值6分，得分6分。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（四）项目成本情况</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项目成本类指标由1个二级指标和2个三级指标构成，权重分10分，实际得分10分。具体如下：    ①成本指标    “综合行政执法工作经费”指标，预期指标值为≤133.24万元，指标完成值133.24万元，完成率为100%，分值6分，得分6分。   “执法巡查工作经费”指标，预期指标值为≤44.20万元，指标完成值为44.20万元，完成率为100%，分值4分，得分4分。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严格按照预算批复资金及用途，规范资金使用，确保执法人员能够正常、安全的开展各项业务工作。</w:t>
      </w:r>
    </w:p>
    <w:p>
      <w:pPr>
        <w:spacing w:line="540" w:lineRule="exact"/>
        <w:ind w:firstLine="567" w:firstLineChars="181"/>
        <w:rPr>
          <w:rFonts w:ascii="楷体" w:hAnsi="楷体" w:eastAsia="楷体"/>
          <w:b/>
          <w:spacing w:val="-4"/>
          <w:sz w:val="32"/>
          <w:szCs w:val="32"/>
        </w:rPr>
      </w:pPr>
      <w:r>
        <w:rPr>
          <w:rFonts w:hint="eastAsia" w:ascii="楷体" w:hAnsi="楷体" w:eastAsia="楷体"/>
          <w:b/>
          <w:spacing w:val="-4"/>
          <w:sz w:val="32"/>
          <w:szCs w:val="32"/>
        </w:rPr>
        <w:t>（四）项目效益情况。</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项目效益类指标由1个二级指标1个三级指标构成，权重分20分，实际得分20分。</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“维护道路安全畅通率”指标，预期指标值为=100%，指标完成值为100%，完成率为100%，分值20分，得分20分。</w:t>
      </w:r>
    </w:p>
    <w:p>
      <w:pPr>
        <w:spacing w:line="540" w:lineRule="exact"/>
        <w:ind w:firstLine="567"/>
        <w:rPr>
          <w:rStyle w:val="17"/>
          <w:rFonts w:hint="eastAsia" w:ascii="楷体" w:hAnsi="楷体" w:eastAsia="楷体"/>
          <w:spacing w:val="-4"/>
          <w:sz w:val="32"/>
          <w:szCs w:val="32"/>
        </w:rPr>
      </w:pPr>
      <w:r>
        <w:rPr>
          <w:rStyle w:val="17"/>
          <w:rFonts w:hint="eastAsia" w:ascii="楷体" w:hAnsi="楷体" w:eastAsia="楷体"/>
          <w:spacing w:val="-4"/>
          <w:sz w:val="32"/>
          <w:szCs w:val="32"/>
        </w:rPr>
        <w:t>项目满意度指标由1个二级指标和1个三级指标构成，权重分10分，实际得分10分。具体如下：   “群众对执法办案行为满意率”指标，预期指标值为＞=90%，指标完成值为90%，完成率为100%，分值10分，得分10分。（七）预算执行进度与绩效指标偏差</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经过自评，该项目按照财政部设定的绩效目标较好完成，未出现偏离情况。</w:t>
      </w:r>
    </w:p>
    <w:p>
      <w:pPr>
        <w:spacing w:line="540" w:lineRule="exact"/>
        <w:ind w:firstLine="640"/>
        <w:rPr>
          <w:rStyle w:val="17"/>
          <w:rFonts w:ascii="黑体" w:hAnsi="黑体" w:eastAsia="黑体"/>
          <w:spacing w:val="-4"/>
          <w:sz w:val="32"/>
          <w:szCs w:val="32"/>
        </w:rPr>
      </w:pPr>
      <w:r>
        <w:rPr>
          <w:rStyle w:val="17"/>
          <w:rFonts w:hint="eastAsia" w:ascii="黑体" w:hAnsi="黑体" w:eastAsia="黑体"/>
          <w:b w:val="0"/>
          <w:spacing w:val="-4"/>
          <w:sz w:val="32"/>
          <w:szCs w:val="32"/>
          <w:lang w:eastAsia="zh-CN"/>
        </w:rPr>
        <w:t>五</w:t>
      </w:r>
      <w:r>
        <w:rPr>
          <w:rStyle w:val="17"/>
          <w:rFonts w:hint="eastAsia" w:ascii="黑体" w:hAnsi="黑体" w:eastAsia="黑体"/>
          <w:b w:val="0"/>
          <w:spacing w:val="-4"/>
          <w:sz w:val="32"/>
          <w:szCs w:val="32"/>
        </w:rPr>
        <w:t>、</w:t>
      </w:r>
      <w:r>
        <w:rPr>
          <w:rStyle w:val="17"/>
          <w:rFonts w:ascii="黑体" w:hAnsi="黑体" w:eastAsia="黑体"/>
          <w:b w:val="0"/>
          <w:spacing w:val="-4"/>
          <w:sz w:val="32"/>
          <w:szCs w:val="32"/>
        </w:rPr>
        <w:t>主要经验及做法、存在的问题及原因分析</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（一）主要经验及做法</w:t>
      </w:r>
      <w:r>
        <w:rPr>
          <w:rStyle w:val="17"/>
          <w:rFonts w:hint="eastAsia" w:ascii="楷体" w:hAnsi="楷体" w:eastAsia="楷体"/>
          <w:spacing w:val="-4"/>
          <w:sz w:val="32"/>
          <w:szCs w:val="32"/>
        </w:rPr>
        <w:cr/>
      </w:r>
      <w:r>
        <w:rPr>
          <w:rStyle w:val="17"/>
          <w:rFonts w:hint="eastAsia" w:ascii="楷体" w:hAnsi="楷体" w:eastAsia="楷体"/>
          <w:spacing w:val="-4"/>
          <w:sz w:val="32"/>
          <w:szCs w:val="32"/>
        </w:rPr>
        <w:br w:type="textWrapping"/>
      </w:r>
      <w:r>
        <w:rPr>
          <w:rStyle w:val="17"/>
          <w:rFonts w:hint="eastAsia" w:ascii="楷体" w:hAnsi="楷体" w:eastAsia="楷体"/>
          <w:spacing w:val="-4"/>
          <w:sz w:val="32"/>
          <w:szCs w:val="32"/>
        </w:rPr>
        <w:t>1.项目负责人按照“预算编制有目标、预算执行有监督、预算完成有评价、评价结果有反馈、反馈结果有应用”的预算绩效管理，按要求做好档案文件、材料的收集、整理、归档和保管工作，确保单位项目档案管理合理有效。     2.项目实施时，将资金按照时间节点进行分配，确保资金的使用规矩到位，合理合规。继续加强资金使用监管力度，坚持“稳中求进”，专款专用。     3.加强项目实施过程中的监督审核，建立健全财政专项资金的公开机制、评审机制、跟踪检查机制，确保资金安全高效使用。切实抓好财政专项资金的分配、使用、管理和效益情况的审计监督和纪律监督，严肃查处违纪违规行为。加强对重点部门，重点责任人的监督，从资金拨付、管理和使用各个环节实行全过程、全方位的监督，确保各项工作顺利完成。强化资金管理，积极落实国家财税改革要求，加大降费减负力度，严格财务审核，健全单位财务管理制度体系，规范单位财务行为。    （二）存在的问题及原因分析     根据对本单位公路管理项目支出绩效分析，总体来说项目执行率高，执行情况较好，按照工作进度完成工作计划，但还存在一些问题：一是资金使用效益有待进一步提高。应进一步提高年初预算编制的科学性和准确性，完善预算执行动态约束机制，加强财政预算资金管理，统筹协调推进项目执行，提高财政资金效益和效果。二是绩效目标设立不够明确、细化和量化。项目单位虽然设立了项目资金绩效目标，但目标不够明确、细化和量化。三是项目执行进度还有待加强，增强预算的约束力和严肃性。执行过程中，各部门要加强沟通联系，提前规划，业务部门要根据制定的工作计划和项目安排时间，早做准备，按时完成既定工作任务及目标，确保项目按期按进度执行完毕。财务人员应及时提醒业务人员资金到位情况和项目计划安排时间，根据项目执行进度及时支付项目资金，各部门协同配合，共同推进预算执行进度。</w:t>
      </w:r>
    </w:p>
    <w:p>
      <w:pPr>
        <w:ind w:firstLine="624" w:firstLineChars="200"/>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六</w:t>
      </w:r>
      <w:r>
        <w:rPr>
          <w:rStyle w:val="17"/>
          <w:rFonts w:ascii="黑体" w:hAnsi="黑体" w:eastAsia="黑体"/>
          <w:b w:val="0"/>
          <w:spacing w:val="-4"/>
          <w:sz w:val="32"/>
          <w:szCs w:val="32"/>
        </w:rPr>
        <w:t>、有关建议</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项目绩效目标细化分解为具体的绩效指标，通过具体的数量指标值予以体现，绩效指标与项目目标任务数相对应。预算资金分配充足，为保障职工权益，确保执法工作顺利开展，将所有收入和支出均纳入部门预算管理，做到量入为出，以收定支、专款专用，收支基本保持平衡，预算执行完毕。严格遵守中央八项规定，厉行节约反对浪费，遵循先有预算、后有支出原则，严禁超预算或者无预算安排支出；加强制度建设，要严格按批复的预算执行，并实行预算责任追究制度，对预算执行过程和完成结果进行追踪问效，不断提高资金使用效益。</w:t>
      </w:r>
    </w:p>
    <w:p>
      <w:pPr>
        <w:spacing w:line="540" w:lineRule="exact"/>
        <w:ind w:firstLine="567"/>
        <w:rPr>
          <w:rStyle w:val="17"/>
          <w:rFonts w:ascii="黑体" w:hAnsi="黑体" w:eastAsia="黑体"/>
          <w:b w:val="0"/>
          <w:spacing w:val="-4"/>
          <w:sz w:val="32"/>
          <w:szCs w:val="32"/>
        </w:rPr>
      </w:pPr>
      <w:r>
        <w:rPr>
          <w:rStyle w:val="17"/>
          <w:rFonts w:hint="eastAsia" w:ascii="黑体" w:hAnsi="黑体" w:eastAsia="黑体"/>
          <w:b w:val="0"/>
          <w:spacing w:val="-4"/>
          <w:sz w:val="32"/>
          <w:szCs w:val="32"/>
          <w:lang w:eastAsia="zh-CN"/>
        </w:rPr>
        <w:t>七</w:t>
      </w:r>
      <w:r>
        <w:rPr>
          <w:rStyle w:val="17"/>
          <w:rFonts w:hint="eastAsia" w:ascii="黑体" w:hAnsi="黑体" w:eastAsia="黑体"/>
          <w:b w:val="0"/>
          <w:spacing w:val="-4"/>
          <w:sz w:val="32"/>
          <w:szCs w:val="32"/>
        </w:rPr>
        <w:t>、其他需要说明的问题</w:t>
      </w:r>
    </w:p>
    <w:p>
      <w:pPr>
        <w:spacing w:line="540" w:lineRule="exact"/>
        <w:ind w:firstLine="627" w:firstLineChars="200"/>
        <w:rPr>
          <w:rStyle w:val="17"/>
          <w:rFonts w:ascii="楷体" w:hAnsi="楷体" w:eastAsia="楷体"/>
          <w:spacing w:val="-4"/>
          <w:sz w:val="32"/>
          <w:szCs w:val="32"/>
        </w:rPr>
      </w:pPr>
      <w:r>
        <w:rPr>
          <w:rStyle w:val="17"/>
          <w:rFonts w:hint="eastAsia" w:ascii="楷体" w:hAnsi="楷体" w:eastAsia="楷体"/>
          <w:spacing w:val="-4"/>
          <w:sz w:val="32"/>
          <w:szCs w:val="32"/>
        </w:rPr>
        <w:t>无其他说明内容</w:t>
      </w: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p>
      <w:pPr>
        <w:spacing w:line="540" w:lineRule="exact"/>
        <w:ind w:firstLine="567"/>
        <w:rPr>
          <w:rStyle w:val="17"/>
          <w:rFonts w:ascii="仿宋" w:hAnsi="仿宋" w:eastAsia="仿宋"/>
          <w:b w:val="0"/>
          <w:spacing w:val="-4"/>
          <w:sz w:val="32"/>
          <w:szCs w:val="32"/>
        </w:rPr>
      </w:pPr>
    </w:p>
    <w:sectPr>
      <w:footerReference r:id="rId3" w:type="default"/>
      <w:pgSz w:w="11906" w:h="16838"/>
      <w:pgMar w:top="1440" w:right="1558"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6FF" w:usb1="420024FF" w:usb2="02000000" w:usb3="00000000" w:csb0="2000019F"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华文中宋">
    <w:altName w:val="宋体"/>
    <w:panose1 w:val="02010600040101010101"/>
    <w:charset w:val="86"/>
    <w:family w:val="auto"/>
    <w:pitch w:val="default"/>
    <w:sig w:usb0="00000000" w:usb1="00000000" w:usb2="00000000" w:usb3="00000000" w:csb0="0004009F" w:csb1="DFD70000"/>
  </w:font>
  <w:font w:name="方正小标宋_GBK">
    <w:panose1 w:val="03000509000000000000"/>
    <w:charset w:val="86"/>
    <w:family w:val="script"/>
    <w:pitch w:val="default"/>
    <w:sig w:usb0="00000001" w:usb1="080E0000" w:usb2="00000000" w:usb3="00000000" w:csb0="00040000" w:csb1="00000000"/>
  </w:font>
  <w:font w:name="仿宋_GB2312">
    <w:altName w:val="仿宋"/>
    <w:panose1 w:val="02010609030101010101"/>
    <w:charset w:val="86"/>
    <w:family w:val="modern"/>
    <w:pitch w:val="default"/>
    <w:sig w:usb0="00000000" w:usb1="00000000" w:usb2="00000000" w:usb3="00000000" w:csb0="00040000" w:csb1="00000000"/>
  </w:font>
  <w:font w:name="楷体">
    <w:panose1 w:val="02010609060101010101"/>
    <w:charset w:val="86"/>
    <w:family w:val="modern"/>
    <w:pitch w:val="default"/>
    <w:sig w:usb0="800002BF" w:usb1="38CF7CFA" w:usb2="00000016" w:usb3="00000000" w:csb0="00040001" w:csb1="00000000"/>
  </w:font>
  <w:font w:name="Arial">
    <w:panose1 w:val="020B0604020202020204"/>
    <w:charset w:val="00"/>
    <w:family w:val="auto"/>
    <w:pitch w:val="default"/>
    <w:sig w:usb0="E0002EFF" w:usb1="C000785B" w:usb2="00000009" w:usb3="00000000" w:csb0="400001FF" w:csb1="FFFF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22003363"/>
    </w:sdtPr>
    <w:sdtContent>
      <w:p>
        <w:pPr>
          <w:pStyle w:val="12"/>
          <w:jc w:val="center"/>
        </w:pPr>
        <w:r>
          <w:fldChar w:fldCharType="begin"/>
        </w:r>
        <w:r>
          <w:instrText xml:space="preserve">PAGE   \* MERGEFORMAT</w:instrText>
        </w:r>
        <w:r>
          <w:fldChar w:fldCharType="separate"/>
        </w:r>
        <w:r>
          <w:rPr>
            <w:lang w:val="zh-CN"/>
          </w:rPr>
          <w:t>1</w:t>
        </w:r>
        <w:r>
          <w:fldChar w:fldCharType="end"/>
        </w:r>
      </w:p>
    </w:sdtContent>
  </w:sdt>
  <w:p>
    <w:pPr>
      <w:pStyle w:val="1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C51DF"/>
    <w:rsid w:val="005D10D6"/>
    <w:rsid w:val="005E7C5E"/>
    <w:rsid w:val="0075584F"/>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F42A0"/>
    <w:rsid w:val="00E30E91"/>
    <w:rsid w:val="00E769FE"/>
    <w:rsid w:val="00E774CE"/>
    <w:rsid w:val="00E96D03"/>
    <w:rsid w:val="00EA2CBE"/>
    <w:rsid w:val="00EB10A0"/>
    <w:rsid w:val="00F32FEE"/>
    <w:rsid w:val="00FB10BB"/>
    <w:rsid w:val="0CB44F22"/>
    <w:rsid w:val="4C3D1751"/>
    <w:rsid w:val="4D2606A1"/>
    <w:rsid w:val="77F261F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0"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20"/>
    <w:qFormat/>
    <w:uiPriority w:val="9"/>
    <w:pPr>
      <w:keepNext/>
      <w:widowControl/>
      <w:spacing w:before="240" w:after="60"/>
      <w:jc w:val="left"/>
      <w:outlineLvl w:val="0"/>
    </w:pPr>
    <w:rPr>
      <w:rFonts w:asciiTheme="majorHAnsi" w:hAnsiTheme="majorHAnsi" w:eastAsiaTheme="majorEastAsia"/>
      <w:b/>
      <w:bCs/>
      <w:kern w:val="32"/>
      <w:sz w:val="32"/>
      <w:szCs w:val="32"/>
    </w:rPr>
  </w:style>
  <w:style w:type="paragraph" w:styleId="3">
    <w:name w:val="heading 2"/>
    <w:basedOn w:val="1"/>
    <w:next w:val="1"/>
    <w:link w:val="21"/>
    <w:unhideWhenUsed/>
    <w:qFormat/>
    <w:uiPriority w:val="9"/>
    <w:pPr>
      <w:keepNext/>
      <w:widowControl/>
      <w:spacing w:before="240" w:after="60"/>
      <w:jc w:val="left"/>
      <w:outlineLvl w:val="1"/>
    </w:pPr>
    <w:rPr>
      <w:rFonts w:asciiTheme="majorHAnsi" w:hAnsiTheme="majorHAnsi" w:eastAsiaTheme="majorEastAsia"/>
      <w:b/>
      <w:bCs/>
      <w:i/>
      <w:iCs/>
      <w:kern w:val="0"/>
      <w:sz w:val="28"/>
      <w:szCs w:val="28"/>
    </w:rPr>
  </w:style>
  <w:style w:type="paragraph" w:styleId="4">
    <w:name w:val="heading 3"/>
    <w:basedOn w:val="1"/>
    <w:next w:val="1"/>
    <w:link w:val="22"/>
    <w:unhideWhenUsed/>
    <w:qFormat/>
    <w:uiPriority w:val="9"/>
    <w:pPr>
      <w:keepNext/>
      <w:widowControl/>
      <w:spacing w:before="240" w:after="60"/>
      <w:jc w:val="left"/>
      <w:outlineLvl w:val="2"/>
    </w:pPr>
    <w:rPr>
      <w:rFonts w:asciiTheme="majorHAnsi" w:hAnsiTheme="majorHAnsi" w:eastAsiaTheme="majorEastAsia"/>
      <w:b/>
      <w:bCs/>
      <w:kern w:val="0"/>
      <w:sz w:val="26"/>
      <w:szCs w:val="26"/>
    </w:rPr>
  </w:style>
  <w:style w:type="paragraph" w:styleId="5">
    <w:name w:val="heading 4"/>
    <w:basedOn w:val="1"/>
    <w:next w:val="1"/>
    <w:link w:val="23"/>
    <w:unhideWhenUsed/>
    <w:qFormat/>
    <w:uiPriority w:val="9"/>
    <w:pPr>
      <w:keepNext/>
      <w:widowControl/>
      <w:spacing w:before="240" w:after="60"/>
      <w:jc w:val="left"/>
      <w:outlineLvl w:val="3"/>
    </w:pPr>
    <w:rPr>
      <w:rFonts w:asciiTheme="minorHAnsi" w:hAnsiTheme="minorHAnsi" w:eastAsiaTheme="minorEastAsia"/>
      <w:b/>
      <w:bCs/>
      <w:kern w:val="0"/>
      <w:sz w:val="28"/>
      <w:szCs w:val="28"/>
    </w:rPr>
  </w:style>
  <w:style w:type="paragraph" w:styleId="6">
    <w:name w:val="heading 5"/>
    <w:basedOn w:val="1"/>
    <w:next w:val="1"/>
    <w:link w:val="24"/>
    <w:unhideWhenUsed/>
    <w:qFormat/>
    <w:uiPriority w:val="9"/>
    <w:pPr>
      <w:widowControl/>
      <w:spacing w:before="240" w:after="60"/>
      <w:jc w:val="left"/>
      <w:outlineLvl w:val="4"/>
    </w:pPr>
    <w:rPr>
      <w:rFonts w:asciiTheme="minorHAnsi" w:hAnsiTheme="minorHAnsi" w:eastAsiaTheme="minorEastAsia"/>
      <w:b/>
      <w:bCs/>
      <w:i/>
      <w:iCs/>
      <w:kern w:val="0"/>
      <w:sz w:val="26"/>
      <w:szCs w:val="26"/>
    </w:rPr>
  </w:style>
  <w:style w:type="paragraph" w:styleId="7">
    <w:name w:val="heading 6"/>
    <w:basedOn w:val="1"/>
    <w:next w:val="1"/>
    <w:link w:val="25"/>
    <w:unhideWhenUsed/>
    <w:qFormat/>
    <w:uiPriority w:val="9"/>
    <w:pPr>
      <w:widowControl/>
      <w:spacing w:before="240" w:after="60"/>
      <w:jc w:val="left"/>
      <w:outlineLvl w:val="5"/>
    </w:pPr>
    <w:rPr>
      <w:rFonts w:asciiTheme="minorHAnsi" w:hAnsiTheme="minorHAnsi" w:eastAsiaTheme="minorEastAsia"/>
      <w:b/>
      <w:bCs/>
      <w:kern w:val="0"/>
      <w:sz w:val="22"/>
      <w:szCs w:val="22"/>
    </w:rPr>
  </w:style>
  <w:style w:type="paragraph" w:styleId="8">
    <w:name w:val="heading 7"/>
    <w:basedOn w:val="1"/>
    <w:next w:val="1"/>
    <w:link w:val="26"/>
    <w:unhideWhenUsed/>
    <w:qFormat/>
    <w:uiPriority w:val="9"/>
    <w:pPr>
      <w:widowControl/>
      <w:spacing w:before="240" w:after="60"/>
      <w:jc w:val="left"/>
      <w:outlineLvl w:val="6"/>
    </w:pPr>
    <w:rPr>
      <w:rFonts w:asciiTheme="minorHAnsi" w:hAnsiTheme="minorHAnsi" w:eastAsiaTheme="minorEastAsia"/>
      <w:kern w:val="0"/>
      <w:sz w:val="24"/>
    </w:rPr>
  </w:style>
  <w:style w:type="paragraph" w:styleId="9">
    <w:name w:val="heading 8"/>
    <w:basedOn w:val="1"/>
    <w:next w:val="1"/>
    <w:link w:val="27"/>
    <w:unhideWhenUsed/>
    <w:qFormat/>
    <w:uiPriority w:val="9"/>
    <w:pPr>
      <w:widowControl/>
      <w:spacing w:before="240" w:after="60"/>
      <w:jc w:val="left"/>
      <w:outlineLvl w:val="7"/>
    </w:pPr>
    <w:rPr>
      <w:rFonts w:asciiTheme="minorHAnsi" w:hAnsiTheme="minorHAnsi" w:eastAsiaTheme="minorEastAsia"/>
      <w:i/>
      <w:iCs/>
      <w:kern w:val="0"/>
      <w:sz w:val="24"/>
    </w:rPr>
  </w:style>
  <w:style w:type="paragraph" w:styleId="10">
    <w:name w:val="heading 9"/>
    <w:basedOn w:val="1"/>
    <w:next w:val="1"/>
    <w:link w:val="28"/>
    <w:unhideWhenUsed/>
    <w:qFormat/>
    <w:uiPriority w:val="9"/>
    <w:pPr>
      <w:widowControl/>
      <w:spacing w:before="240" w:after="60"/>
      <w:jc w:val="left"/>
      <w:outlineLvl w:val="8"/>
    </w:pPr>
    <w:rPr>
      <w:rFonts w:asciiTheme="majorHAnsi" w:hAnsiTheme="majorHAnsi" w:eastAsiaTheme="majorEastAsia"/>
      <w:kern w:val="0"/>
      <w:sz w:val="22"/>
      <w:szCs w:val="22"/>
    </w:rPr>
  </w:style>
  <w:style w:type="character" w:default="1" w:styleId="16">
    <w:name w:val="Default Paragraph Font"/>
    <w:unhideWhenUsed/>
    <w:qFormat/>
    <w:uiPriority w:val="1"/>
  </w:style>
  <w:style w:type="table" w:default="1" w:styleId="19">
    <w:name w:val="Normal Table"/>
    <w:unhideWhenUsed/>
    <w:qFormat/>
    <w:uiPriority w:val="99"/>
    <w:tblPr>
      <w:tblLayout w:type="fixed"/>
      <w:tblCellMar>
        <w:top w:w="0" w:type="dxa"/>
        <w:left w:w="108" w:type="dxa"/>
        <w:bottom w:w="0" w:type="dxa"/>
        <w:right w:w="108" w:type="dxa"/>
      </w:tblCellMar>
    </w:tblPr>
  </w:style>
  <w:style w:type="paragraph" w:styleId="11">
    <w:name w:val="Balloon Text"/>
    <w:basedOn w:val="1"/>
    <w:link w:val="45"/>
    <w:unhideWhenUsed/>
    <w:qFormat/>
    <w:uiPriority w:val="99"/>
    <w:rPr>
      <w:sz w:val="18"/>
      <w:szCs w:val="18"/>
    </w:rPr>
  </w:style>
  <w:style w:type="paragraph" w:styleId="12">
    <w:name w:val="footer"/>
    <w:basedOn w:val="1"/>
    <w:link w:val="44"/>
    <w:unhideWhenUsed/>
    <w:qFormat/>
    <w:uiPriority w:val="99"/>
    <w:pPr>
      <w:tabs>
        <w:tab w:val="center" w:pos="4153"/>
        <w:tab w:val="right" w:pos="8306"/>
      </w:tabs>
      <w:snapToGrid w:val="0"/>
      <w:jc w:val="left"/>
    </w:pPr>
    <w:rPr>
      <w:rFonts w:ascii="Calibri" w:hAnsi="Calibri"/>
      <w:sz w:val="18"/>
      <w:szCs w:val="18"/>
    </w:rPr>
  </w:style>
  <w:style w:type="paragraph" w:styleId="13">
    <w:name w:val="header"/>
    <w:basedOn w:val="1"/>
    <w:link w:val="43"/>
    <w:unhideWhenUsed/>
    <w:qFormat/>
    <w:uiPriority w:val="99"/>
    <w:pPr>
      <w:pBdr>
        <w:bottom w:val="single" w:color="auto" w:sz="6" w:space="1"/>
      </w:pBdr>
      <w:tabs>
        <w:tab w:val="center" w:pos="4153"/>
        <w:tab w:val="right" w:pos="8306"/>
      </w:tabs>
      <w:snapToGrid w:val="0"/>
      <w:jc w:val="center"/>
    </w:pPr>
    <w:rPr>
      <w:rFonts w:ascii="Calibri" w:hAnsi="Calibri"/>
      <w:sz w:val="18"/>
      <w:szCs w:val="18"/>
    </w:rPr>
  </w:style>
  <w:style w:type="paragraph" w:styleId="14">
    <w:name w:val="Subtitle"/>
    <w:basedOn w:val="1"/>
    <w:next w:val="1"/>
    <w:link w:val="30"/>
    <w:qFormat/>
    <w:uiPriority w:val="11"/>
    <w:pPr>
      <w:widowControl/>
      <w:spacing w:after="60"/>
      <w:jc w:val="center"/>
      <w:outlineLvl w:val="1"/>
    </w:pPr>
    <w:rPr>
      <w:rFonts w:asciiTheme="majorHAnsi" w:hAnsiTheme="majorHAnsi" w:eastAsiaTheme="majorEastAsia"/>
      <w:kern w:val="0"/>
      <w:sz w:val="24"/>
    </w:rPr>
  </w:style>
  <w:style w:type="paragraph" w:styleId="15">
    <w:name w:val="Title"/>
    <w:basedOn w:val="1"/>
    <w:next w:val="1"/>
    <w:link w:val="29"/>
    <w:qFormat/>
    <w:uiPriority w:val="10"/>
    <w:pPr>
      <w:widowControl/>
      <w:spacing w:before="240" w:after="60"/>
      <w:jc w:val="center"/>
      <w:outlineLvl w:val="0"/>
    </w:pPr>
    <w:rPr>
      <w:rFonts w:asciiTheme="majorHAnsi" w:hAnsiTheme="majorHAnsi" w:eastAsiaTheme="majorEastAsia"/>
      <w:b/>
      <w:bCs/>
      <w:kern w:val="28"/>
      <w:sz w:val="32"/>
      <w:szCs w:val="32"/>
    </w:rPr>
  </w:style>
  <w:style w:type="character" w:styleId="17">
    <w:name w:val="Strong"/>
    <w:basedOn w:val="16"/>
    <w:qFormat/>
    <w:uiPriority w:val="0"/>
    <w:rPr>
      <w:b/>
      <w:bCs/>
    </w:rPr>
  </w:style>
  <w:style w:type="character" w:styleId="18">
    <w:name w:val="Emphasis"/>
    <w:basedOn w:val="16"/>
    <w:qFormat/>
    <w:uiPriority w:val="20"/>
    <w:rPr>
      <w:rFonts w:asciiTheme="minorHAnsi" w:hAnsiTheme="minorHAnsi"/>
      <w:b/>
      <w:i/>
      <w:iCs/>
    </w:rPr>
  </w:style>
  <w:style w:type="character" w:customStyle="1" w:styleId="20">
    <w:name w:val="标题 1 字符"/>
    <w:basedOn w:val="16"/>
    <w:link w:val="2"/>
    <w:qFormat/>
    <w:uiPriority w:val="9"/>
    <w:rPr>
      <w:rFonts w:asciiTheme="majorHAnsi" w:hAnsiTheme="majorHAnsi" w:eastAsiaTheme="majorEastAsia"/>
      <w:b/>
      <w:bCs/>
      <w:kern w:val="32"/>
      <w:sz w:val="32"/>
      <w:szCs w:val="32"/>
    </w:rPr>
  </w:style>
  <w:style w:type="character" w:customStyle="1" w:styleId="21">
    <w:name w:val="标题 2 字符"/>
    <w:basedOn w:val="16"/>
    <w:link w:val="3"/>
    <w:semiHidden/>
    <w:qFormat/>
    <w:uiPriority w:val="9"/>
    <w:rPr>
      <w:rFonts w:asciiTheme="majorHAnsi" w:hAnsiTheme="majorHAnsi" w:eastAsiaTheme="majorEastAsia"/>
      <w:b/>
      <w:bCs/>
      <w:i/>
      <w:iCs/>
      <w:sz w:val="28"/>
      <w:szCs w:val="28"/>
    </w:rPr>
  </w:style>
  <w:style w:type="character" w:customStyle="1" w:styleId="22">
    <w:name w:val="标题 3 字符"/>
    <w:basedOn w:val="16"/>
    <w:link w:val="4"/>
    <w:semiHidden/>
    <w:qFormat/>
    <w:uiPriority w:val="9"/>
    <w:rPr>
      <w:rFonts w:asciiTheme="majorHAnsi" w:hAnsiTheme="majorHAnsi" w:eastAsiaTheme="majorEastAsia"/>
      <w:b/>
      <w:bCs/>
      <w:sz w:val="26"/>
      <w:szCs w:val="26"/>
    </w:rPr>
  </w:style>
  <w:style w:type="character" w:customStyle="1" w:styleId="23">
    <w:name w:val="标题 4 字符"/>
    <w:basedOn w:val="16"/>
    <w:link w:val="5"/>
    <w:qFormat/>
    <w:uiPriority w:val="9"/>
    <w:rPr>
      <w:b/>
      <w:bCs/>
      <w:sz w:val="28"/>
      <w:szCs w:val="28"/>
    </w:rPr>
  </w:style>
  <w:style w:type="character" w:customStyle="1" w:styleId="24">
    <w:name w:val="标题 5 字符"/>
    <w:basedOn w:val="16"/>
    <w:link w:val="6"/>
    <w:semiHidden/>
    <w:qFormat/>
    <w:uiPriority w:val="9"/>
    <w:rPr>
      <w:b/>
      <w:bCs/>
      <w:i/>
      <w:iCs/>
      <w:sz w:val="26"/>
      <w:szCs w:val="26"/>
    </w:rPr>
  </w:style>
  <w:style w:type="character" w:customStyle="1" w:styleId="25">
    <w:name w:val="标题 6 字符"/>
    <w:basedOn w:val="16"/>
    <w:link w:val="7"/>
    <w:semiHidden/>
    <w:qFormat/>
    <w:uiPriority w:val="9"/>
    <w:rPr>
      <w:b/>
      <w:bCs/>
    </w:rPr>
  </w:style>
  <w:style w:type="character" w:customStyle="1" w:styleId="26">
    <w:name w:val="标题 7 字符"/>
    <w:basedOn w:val="16"/>
    <w:link w:val="8"/>
    <w:semiHidden/>
    <w:qFormat/>
    <w:uiPriority w:val="9"/>
    <w:rPr>
      <w:sz w:val="24"/>
      <w:szCs w:val="24"/>
    </w:rPr>
  </w:style>
  <w:style w:type="character" w:customStyle="1" w:styleId="27">
    <w:name w:val="标题 8 字符"/>
    <w:basedOn w:val="16"/>
    <w:link w:val="9"/>
    <w:semiHidden/>
    <w:qFormat/>
    <w:uiPriority w:val="9"/>
    <w:rPr>
      <w:i/>
      <w:iCs/>
      <w:sz w:val="24"/>
      <w:szCs w:val="24"/>
    </w:rPr>
  </w:style>
  <w:style w:type="character" w:customStyle="1" w:styleId="28">
    <w:name w:val="标题 9 字符"/>
    <w:basedOn w:val="16"/>
    <w:link w:val="10"/>
    <w:semiHidden/>
    <w:qFormat/>
    <w:uiPriority w:val="9"/>
    <w:rPr>
      <w:rFonts w:asciiTheme="majorHAnsi" w:hAnsiTheme="majorHAnsi" w:eastAsiaTheme="majorEastAsia"/>
    </w:rPr>
  </w:style>
  <w:style w:type="character" w:customStyle="1" w:styleId="29">
    <w:name w:val="标题 字符"/>
    <w:basedOn w:val="16"/>
    <w:link w:val="15"/>
    <w:qFormat/>
    <w:uiPriority w:val="10"/>
    <w:rPr>
      <w:rFonts w:asciiTheme="majorHAnsi" w:hAnsiTheme="majorHAnsi" w:eastAsiaTheme="majorEastAsia"/>
      <w:b/>
      <w:bCs/>
      <w:kern w:val="28"/>
      <w:sz w:val="32"/>
      <w:szCs w:val="32"/>
    </w:rPr>
  </w:style>
  <w:style w:type="character" w:customStyle="1" w:styleId="30">
    <w:name w:val="副标题 字符"/>
    <w:basedOn w:val="16"/>
    <w:link w:val="14"/>
    <w:qFormat/>
    <w:uiPriority w:val="11"/>
    <w:rPr>
      <w:rFonts w:asciiTheme="majorHAnsi" w:hAnsiTheme="majorHAnsi" w:eastAsiaTheme="majorEastAsia"/>
      <w:sz w:val="24"/>
      <w:szCs w:val="24"/>
    </w:rPr>
  </w:style>
  <w:style w:type="paragraph" w:customStyle="1" w:styleId="31">
    <w:name w:val="No Spacing"/>
    <w:basedOn w:val="1"/>
    <w:qFormat/>
    <w:uiPriority w:val="1"/>
    <w:pPr>
      <w:widowControl/>
      <w:jc w:val="left"/>
    </w:pPr>
    <w:rPr>
      <w:rFonts w:asciiTheme="minorHAnsi" w:hAnsiTheme="minorHAnsi" w:eastAsiaTheme="minorEastAsia"/>
      <w:kern w:val="0"/>
      <w:sz w:val="24"/>
      <w:szCs w:val="32"/>
      <w:lang w:eastAsia="en-US" w:bidi="en-US"/>
    </w:rPr>
  </w:style>
  <w:style w:type="paragraph" w:customStyle="1" w:styleId="32">
    <w:name w:val="List Paragraph"/>
    <w:basedOn w:val="1"/>
    <w:qFormat/>
    <w:uiPriority w:val="34"/>
    <w:pPr>
      <w:widowControl/>
      <w:ind w:left="720"/>
      <w:contextualSpacing/>
      <w:jc w:val="left"/>
    </w:pPr>
    <w:rPr>
      <w:rFonts w:asciiTheme="minorHAnsi" w:hAnsiTheme="minorHAnsi" w:eastAsiaTheme="minorEastAsia"/>
      <w:kern w:val="0"/>
      <w:sz w:val="24"/>
      <w:lang w:eastAsia="en-US" w:bidi="en-US"/>
    </w:rPr>
  </w:style>
  <w:style w:type="paragraph" w:customStyle="1" w:styleId="33">
    <w:name w:val="Quote"/>
    <w:basedOn w:val="1"/>
    <w:next w:val="1"/>
    <w:link w:val="34"/>
    <w:qFormat/>
    <w:uiPriority w:val="29"/>
    <w:pPr>
      <w:widowControl/>
      <w:jc w:val="left"/>
    </w:pPr>
    <w:rPr>
      <w:rFonts w:asciiTheme="minorHAnsi" w:hAnsiTheme="minorHAnsi" w:eastAsiaTheme="minorEastAsia"/>
      <w:i/>
      <w:kern w:val="0"/>
      <w:sz w:val="24"/>
    </w:rPr>
  </w:style>
  <w:style w:type="character" w:customStyle="1" w:styleId="34">
    <w:name w:val="引用 字符"/>
    <w:basedOn w:val="16"/>
    <w:link w:val="33"/>
    <w:qFormat/>
    <w:uiPriority w:val="29"/>
    <w:rPr>
      <w:i/>
      <w:sz w:val="24"/>
      <w:szCs w:val="24"/>
    </w:rPr>
  </w:style>
  <w:style w:type="paragraph" w:customStyle="1" w:styleId="35">
    <w:name w:val="Intense Quote"/>
    <w:basedOn w:val="1"/>
    <w:next w:val="1"/>
    <w:link w:val="36"/>
    <w:qFormat/>
    <w:uiPriority w:val="30"/>
    <w:pPr>
      <w:widowControl/>
      <w:ind w:left="720" w:right="720"/>
      <w:jc w:val="left"/>
    </w:pPr>
    <w:rPr>
      <w:rFonts w:asciiTheme="minorHAnsi" w:hAnsiTheme="minorHAnsi" w:eastAsiaTheme="minorEastAsia"/>
      <w:b/>
      <w:i/>
      <w:kern w:val="0"/>
      <w:sz w:val="24"/>
      <w:szCs w:val="22"/>
    </w:rPr>
  </w:style>
  <w:style w:type="character" w:customStyle="1" w:styleId="36">
    <w:name w:val="明显引用 字符"/>
    <w:basedOn w:val="16"/>
    <w:link w:val="35"/>
    <w:qFormat/>
    <w:uiPriority w:val="30"/>
    <w:rPr>
      <w:b/>
      <w:i/>
      <w:sz w:val="24"/>
    </w:rPr>
  </w:style>
  <w:style w:type="character" w:customStyle="1" w:styleId="37">
    <w:name w:val="不明显强调1"/>
    <w:qFormat/>
    <w:uiPriority w:val="19"/>
    <w:rPr>
      <w:i/>
      <w:color w:val="595959" w:themeColor="text1" w:themeTint="A6"/>
      <w14:textFill>
        <w14:solidFill>
          <w14:schemeClr w14:val="tx1">
            <w14:lumMod w14:val="65000"/>
            <w14:lumOff w14:val="35000"/>
          </w14:schemeClr>
        </w14:solidFill>
      </w14:textFill>
    </w:rPr>
  </w:style>
  <w:style w:type="character" w:customStyle="1" w:styleId="38">
    <w:name w:val="明显强调1"/>
    <w:basedOn w:val="16"/>
    <w:qFormat/>
    <w:uiPriority w:val="21"/>
    <w:rPr>
      <w:b/>
      <w:i/>
      <w:sz w:val="24"/>
      <w:szCs w:val="24"/>
      <w:u w:val="single"/>
    </w:rPr>
  </w:style>
  <w:style w:type="character" w:customStyle="1" w:styleId="39">
    <w:name w:val="不明显参考1"/>
    <w:basedOn w:val="16"/>
    <w:qFormat/>
    <w:uiPriority w:val="31"/>
    <w:rPr>
      <w:sz w:val="24"/>
      <w:szCs w:val="24"/>
      <w:u w:val="single"/>
    </w:rPr>
  </w:style>
  <w:style w:type="character" w:customStyle="1" w:styleId="40">
    <w:name w:val="明显参考1"/>
    <w:basedOn w:val="16"/>
    <w:qFormat/>
    <w:uiPriority w:val="32"/>
    <w:rPr>
      <w:b/>
      <w:sz w:val="24"/>
      <w:u w:val="single"/>
    </w:rPr>
  </w:style>
  <w:style w:type="character" w:customStyle="1" w:styleId="41">
    <w:name w:val="书籍标题1"/>
    <w:basedOn w:val="16"/>
    <w:qFormat/>
    <w:uiPriority w:val="33"/>
    <w:rPr>
      <w:rFonts w:asciiTheme="majorHAnsi" w:hAnsiTheme="majorHAnsi" w:eastAsiaTheme="majorEastAsia"/>
      <w:b/>
      <w:i/>
      <w:sz w:val="24"/>
      <w:szCs w:val="24"/>
    </w:rPr>
  </w:style>
  <w:style w:type="paragraph" w:customStyle="1" w:styleId="42">
    <w:name w:val="TOC 标题1"/>
    <w:basedOn w:val="2"/>
    <w:next w:val="1"/>
    <w:unhideWhenUsed/>
    <w:qFormat/>
    <w:uiPriority w:val="39"/>
    <w:pPr>
      <w:outlineLvl w:val="9"/>
    </w:pPr>
    <w:rPr>
      <w:lang w:eastAsia="en-US" w:bidi="en-US"/>
    </w:rPr>
  </w:style>
  <w:style w:type="character" w:customStyle="1" w:styleId="43">
    <w:name w:val="页眉 字符"/>
    <w:basedOn w:val="16"/>
    <w:link w:val="13"/>
    <w:qFormat/>
    <w:uiPriority w:val="99"/>
    <w:rPr>
      <w:rFonts w:ascii="Calibri" w:hAnsi="Calibri" w:eastAsia="宋体"/>
      <w:kern w:val="2"/>
      <w:sz w:val="18"/>
      <w:szCs w:val="18"/>
    </w:rPr>
  </w:style>
  <w:style w:type="character" w:customStyle="1" w:styleId="44">
    <w:name w:val="页脚 字符"/>
    <w:basedOn w:val="16"/>
    <w:link w:val="12"/>
    <w:qFormat/>
    <w:uiPriority w:val="99"/>
    <w:rPr>
      <w:rFonts w:ascii="Calibri" w:hAnsi="Calibri" w:eastAsia="宋体"/>
      <w:kern w:val="2"/>
      <w:sz w:val="18"/>
      <w:szCs w:val="18"/>
    </w:rPr>
  </w:style>
  <w:style w:type="character" w:customStyle="1" w:styleId="45">
    <w:name w:val="批注框文本 字符"/>
    <w:basedOn w:val="16"/>
    <w:link w:val="11"/>
    <w:semiHidden/>
    <w:qFormat/>
    <w:uiPriority w:val="99"/>
    <w:rPr>
      <w:rFonts w:ascii="Times New Roman" w:hAnsi="Times New Roman" w:eastAsia="宋体"/>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113</Words>
  <Characters>648</Characters>
  <Lines>5</Lines>
  <Paragraphs>1</Paragraphs>
  <ScaleCrop>false</ScaleCrop>
  <LinksUpToDate>false</LinksUpToDate>
  <CharactersWithSpaces>760</CharactersWithSpaces>
  <Application>WPS Office_10.8.0.6370_F1E327BC-269C-435d-A152-05C5408002CA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2018-08-15T02:06:00Z</dcterms:created>
  <dc:creator>赵 恺（预算处）</dc:creator>
  <cp:lastModifiedBy>Administrator</cp:lastModifiedBy>
  <cp:lastPrinted>2018-12-31T10:56:00Z</cp:lastPrinted>
  <dcterms:modified xsi:type="dcterms:W3CDTF">2026-09-02T10:16:46Z</dcterms:modified>
  <cp:revision>64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2052-10.8.0.6370</vt:lpwstr>
  </property>
  <property fmtid="{D5CDD505-2E9C-101B-9397-08002B2CF9AE}" pid="3" name="ICV">
    <vt:lpwstr>160D1BA1944349B08C48068401F6E698</vt:lpwstr>
  </property>
</Properties>
</file>