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石河子公路管理局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石河子公路管理局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龚磊</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截至2025年底，石河子公路事业发展中心管养国省干线公路总里程数为444.947公里。其中：国道2条，里程167.328公里，省道5条，里程241.923公里，专用公路5条，里程35.696公里。管养公路桥梁总数为86座，共计3473.5延米，其中国道桥梁34座，共计2137.93延米，省道桥梁46座，共计1422.28延米，专用公路桥梁3座，共计27.1延米。下设养护所4个，养护道班（站、工区）11个。通过开展公路日常养护，进行公路病害处治、桥梁预防性养护、公路沿线设施维修和保养等内容，保障公路及附属设施安全、醒目、齐全的良好服务状态。</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（1）根据《公路养护技术规范》（JTG 5110-2023）《交通运输部关于进一步加强公路桥梁养护管理的若干意见》（交公路发〔2013〕321号）、《公路长大桥隧养护管理和安全运行若干规定》《公路桥梁养护管理工作制度》（交公路发〔2007〕336号）的要求，开展公路路基、路面、桥涵、隧道、沿线设施的小修养护管理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（2）按照《公路养护技术规范》（JTG 5110-2023）要求，积极开展公路经常性检查、定期检查、特殊检查、专项检查，加强日常巡道，及时发现损坏的公路及附属设施，及时修复和更换被损坏的路产。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依据制定的《石河子公路事业发展中心公路日常养护管理制度》《石河子公路事业发展中心公路桥涵养护管理制度》《石河子公路事业发展中心公路日常养护巡查制度》《石河子公路事业发展中心日常养护工程计量支付管理办法》等规章制度以及财务相关资料，对项目进行评价。通过在5月底、8月底两个节点监控项目执行情况，提升预算执行质量。其中：截至2025年5月31日，公路日常养护预算执行率为29%，分析原因是公路日常养护裂缝处治、桥涵维修工作正在进行，尚未结束并支付；下半年冬季防风雪保交通工作未到冬季除雪期，未采购融雪剂。针对公路日常养护项目预算执行率偏低的状况，我中心预算绩效管理工作领导小组及时召开预算绩效监控工作会议，建立健全项目执行实施督办责任制度，与相关科室建立工作联系单，切实发挥各业务科室预算绩效管理的主体责任，督促相关科室将工作向前推进。8月31日前执行482.36万元，预算执行率达到了73%，有效提高了公路养护日常项目的执行进度。</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1.绩效评价的目的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此次我单位根据《财政支出绩效评价管理暂行办法》（财预〔2020〕10号）文件要求对2023年度我单位实施的公路日常养护项目开展部门绩效评价，项目总金额592万元。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中华人民共和国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我单位根据项目的实施资料研读及前期调研，结合项目的实际开展情况，对项目的指标体系进行了调整和完善，最终形成了项目绩效评价指标体系。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指标体系严格按照《项目支出绩效评价管理办法》（财预〔2020〕10号）要求设置，指标体系设置一级指标共5个，包括决策指标（20.00%）、过程指标（20.00%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一级指标为：决策、过程、产出、效益、满意度。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二级指标为：项目立项、绩效目标、资金投入、资金管理、组织实施、数量指标、质量指标、时效指标、成本指标、社会效益、满意度指标。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等年初设置的其他三级指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指标体系包括综合评价表和基础表两部分，综合评价表是评价的依据，基础表是支持评价的基础数据。指标体系用于评分，综合评价表中各指标的权重由该项目绩效评价小组根据绩效评价原理和评价需求，在调研基础上依据指标的重要性制定。</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（1）定量指标分析环节：主要采用比较法，对比三级指标预期指标值和三级指标截至评价日的完成情况，综合分析绩效目标实现程度。详细评价方法的应用如下：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般量化统计类等定量指标：通过对比实际完成值和预期指标值，达成预期指标值的，记该指标所赋全部分值；对完成值高于指标值较多的，要分析原因，如果是由于年初指标值设定明显偏低的，要按照偏离度适度调减分值；未完成指标值的，按照完成值与指标值的比例计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满意度指标：主要采用比较法，根据满意度问卷统计情况计算完成比率与预期指标值对比，达成满意度预期目标的，得满分；未完成指标值的，按照完成值与预期指标值的比例计分；满意度小于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（2）定性指标分析环节：主要采用公众评判法，通过问卷及抽样调查等方式评价本项目实施后社会公众对其实施效果的满意程度，将调研结果按照《项目支出绩效评价管理办法》（财预〔2020〕10 号）、《关于印发&lt;自治区项目支出绩效目标设置指引&gt;的通知》（新财预〔2022〕42 号）要求分为基本达成目标、部分实现目标、实现目标程度较低三档，分别按照该指标对应分值区间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预算编制科学性：专项转移支付资金分配采取因素分析法，应当主要选取自然、经济、社会、绩效等客观因素，并在资金管理办法中明确相应的权重或标准。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资金到位率：比较法和因素分析法，项目完成且资金到位数满足年度预算规模需求，得 4 分；项目尚未完成，资金到位率小于 100.00%且大于等于 80.00%的得 2.5 分，资金到位率小于 80.00%且大于等于 60.00%的得 1.50 分，资金到位率小于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预算执行率：比较法和因素分析法，项目完成且执行数控制在年度预算规模之内的，得 4 分；项目尚未完成，预算执行率小于 100.00%且大于等于 80.00%的得 2.5 分，预算执行率小于 80.00%且大于等于 60.00%的得 1.5 分，预算执行率小于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其他定性指标：公众评判法，通过问卷及抽样调查等方式评价本项目实施后社会公众对其实施效果的满意程度。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1.成立绩效评价小组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本次评价成立了由专业绩效评价工作人员组成的评价工作组，充分按工作要求考虑人员结构、业务能力、利益关系回避等情况，并同步建立项目人员联系清单，成员如下：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①评价组组长：阿布都介力力？阿布都克里木，职责：党委副书记、主任，工作内容：负责中心绩效评价工作总体安排、统筹协调、指导推进；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②评价组成员：赵鹤，职责：中心财务审计科负责人，工作内容：负责中心绩效监控工作数据汇总，分析及上报并督促预算执行进度；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评价组成员：龚磊，职责：中心养护管理科负责人，工作内容：负责中心养护管理项目支出的绩效申报、绩效评价、绩效分析及绩效考核，统筹安排，协调推进，预算执行及项目进度，汇总各项目支出的执行比率，问题分析及改进措施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2、完善评价指标体系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指标体系是评价实施方案的核心。绩效评价小组通过对项目绩效目标已有指标进行分析研究，根据项目的资料研读及前期调研，结合项目的实际开展情况，严格按照《项目支出绩效评价管理办法》（财预〔2020〕10 号）文件要求设置完善绩效评价指标体系。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3、核查资金使用情况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评价组根据项目实施过程及指标评价需求判断，针对项目进行核查，重点关注资金使用是否存在截留、挪用财政专项资金的情况；资金支付审批情况是否合规；资金支付所需材料是否齐备；是否存在擅自改变、扩大支出范围的情况；是否存在擅自提高支出标准、虚列项目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4、采集评价基础数据及相关资料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全面收集项目相关资料和基础数据，完成绩效评价内容和评价指标体系的评价印证资料。整理该项目主要采用查阅相关文件政策、会计凭证等资料，采集项目资金支出情况、项目完成情况及项目成本构成等数据资料；并通过访谈、社会调查掌握具体情况，对采集的数据做详细的分析和统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5、形成综合评价意见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运营管理项目绩效进行客观评价，得出综合评价结论如下：公路日常养护项目共设置绩效目标21（三级指标）个，实现目标21个，完成率 100%。其中项目决策指标共设置6个，满分指标6个，得分率100 %；项目过程指标共设置5个，满分指标 5个，得分率100%；项目产出指标共设置8个，满分指标8个，得分率100 %；项目效益指标共设置1个，满分指标1个，得分率100%；项目满意度指标共设置1个，满分指标1个，得分率100 %。该项目组织比较规范，目标完成情况良好，基本指标实现了预期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最终评分结果：总分为100分，其中：项目决策20分、过程管理20分、项目产出30分、项目效益20分、满意度指标10分。绩效评级为“优”。（优：90-100分，包含90分；良：80-90分，包含80分；中：60-80分，包含60分；差：60分以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w:t>
      </w:r>
      <w:r>
        <w:rPr>
          <w:rStyle w:val="17"/>
          <w:rFonts w:hint="eastAsia" w:ascii="楷体" w:hAnsi="楷体" w:eastAsia="楷体"/>
          <w:spacing w:val="-4"/>
          <w:sz w:val="32"/>
          <w:szCs w:val="32"/>
        </w:rPr>
        <w:tab/>
        <w:t>权重分</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tab/>
        <w:t>得分率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产出指标</w:t>
      </w:r>
      <w:r>
        <w:rPr>
          <w:rStyle w:val="17"/>
          <w:rFonts w:hint="eastAsia" w:ascii="楷体" w:hAnsi="楷体" w:eastAsia="楷体"/>
          <w:spacing w:val="-4"/>
          <w:sz w:val="32"/>
          <w:szCs w:val="32"/>
        </w:rPr>
        <w:tab/>
        <w:t>30</w:t>
      </w:r>
      <w:r>
        <w:rPr>
          <w:rStyle w:val="17"/>
          <w:rFonts w:hint="eastAsia" w:ascii="楷体" w:hAnsi="楷体" w:eastAsia="楷体"/>
          <w:spacing w:val="-4"/>
          <w:sz w:val="32"/>
          <w:szCs w:val="32"/>
        </w:rPr>
        <w:tab/>
        <w:t>30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效益指标</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w:t>
      </w:r>
      <w:r>
        <w:rPr>
          <w:rStyle w:val="17"/>
          <w:rFonts w:hint="eastAsia" w:ascii="楷体" w:hAnsi="楷体" w:eastAsia="楷体"/>
          <w:spacing w:val="-4"/>
          <w:sz w:val="32"/>
          <w:szCs w:val="32"/>
        </w:rPr>
        <w:tab/>
        <w:t>10</w:t>
      </w:r>
      <w:r>
        <w:rPr>
          <w:rStyle w:val="17"/>
          <w:rFonts w:hint="eastAsia" w:ascii="楷体" w:hAnsi="楷体" w:eastAsia="楷体"/>
          <w:spacing w:val="-4"/>
          <w:sz w:val="32"/>
          <w:szCs w:val="32"/>
        </w:rPr>
        <w:tab/>
        <w:t>10</w:t>
      </w:r>
      <w:r>
        <w:rPr>
          <w:rStyle w:val="17"/>
          <w:rFonts w:hint="eastAsia" w:ascii="楷体" w:hAnsi="楷体" w:eastAsia="楷体"/>
          <w:spacing w:val="-4"/>
          <w:sz w:val="32"/>
          <w:szCs w:val="32"/>
        </w:rPr>
        <w:tab/>
        <w:t>100%</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项目立项分值5分，得分5分。其中：（1）立项依据充分性分值2分，得分2分；（2）立项程序规范性分值3分，得分3分。该项目符合国家法律法规、国民经济发展规划、相关文件和政策，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目标分值10分，得分10分。其中：（1）绩效目标合理性分值5分，得分5分；（2）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资金投入分值5分，得分5分。其中（1）预算编制科学性分值2分，得分2分；（2）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资金管理分值12分，得分12分。其中（1）资金到位率分值4分，得分4分；（2）预算执行率分值4分，得分4分；资金使用合规性分值4分，得分4分。该项目预算资金427.21万元，到位资金427.21万元，实际支出资金427.21万元，资金到位率100%，预算执行率100%。资金使用合规，符合国家财经法规和财务管理制度以及有关专项资金管理办法的规定，资金支付均具有完整的审批程序和手续，与预算批复内容相符，不存在截留、挤占、挪用、虚列支出等情况。石河子公路事业发展中心对日常养护资金超过3万元的项目由相关科室立项上党委会通过后进行招投标，财务审计科依据石河子公路事业发展中心财务内部控制管理制度根据经领导审批后的发票、计量支付表、中标通知书、党委会议记录、合同、竣工验收报告等进行付款。</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组织实施分值8分，得分8分。其中（1）管理制度健全性分值4分，得分4分；（2）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项目产出类指标由2个二级指标和8个三级指标构成，权重分20分，实际得分20分。具体如下：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二级指标</w:t>
      </w:r>
      <w:r>
        <w:rPr>
          <w:rStyle w:val="17"/>
          <w:rFonts w:hint="eastAsia" w:ascii="楷体" w:hAnsi="楷体" w:eastAsia="楷体"/>
          <w:spacing w:val="-4"/>
          <w:sz w:val="32"/>
          <w:szCs w:val="32"/>
        </w:rPr>
        <w:tab/>
        <w:t>三级指标</w:t>
      </w:r>
      <w:r>
        <w:rPr>
          <w:rStyle w:val="17"/>
          <w:rFonts w:hint="eastAsia" w:ascii="楷体" w:hAnsi="楷体" w:eastAsia="楷体"/>
          <w:spacing w:val="-4"/>
          <w:sz w:val="32"/>
          <w:szCs w:val="32"/>
        </w:rPr>
        <w:tab/>
        <w:t>预期指标值</w:t>
      </w:r>
      <w:r>
        <w:rPr>
          <w:rStyle w:val="17"/>
          <w:rFonts w:hint="eastAsia" w:ascii="楷体" w:hAnsi="楷体" w:eastAsia="楷体"/>
          <w:spacing w:val="-4"/>
          <w:sz w:val="32"/>
          <w:szCs w:val="32"/>
        </w:rPr>
        <w:tab/>
        <w:t>指标完成值</w:t>
      </w:r>
      <w:r>
        <w:rPr>
          <w:rStyle w:val="17"/>
          <w:rFonts w:hint="eastAsia" w:ascii="楷体" w:hAnsi="楷体" w:eastAsia="楷体"/>
          <w:spacing w:val="-4"/>
          <w:sz w:val="32"/>
          <w:szCs w:val="32"/>
        </w:rPr>
        <w:tab/>
        <w:t>完成率</w:t>
      </w:r>
      <w:r>
        <w:rPr>
          <w:rStyle w:val="17"/>
          <w:rFonts w:hint="eastAsia" w:ascii="楷体" w:hAnsi="楷体" w:eastAsia="楷体"/>
          <w:spacing w:val="-4"/>
          <w:sz w:val="32"/>
          <w:szCs w:val="32"/>
        </w:rPr>
        <w:tab/>
        <w:t>分值</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数量指标</w:t>
      </w:r>
      <w:r>
        <w:rPr>
          <w:rStyle w:val="17"/>
          <w:rFonts w:hint="eastAsia" w:ascii="楷体" w:hAnsi="楷体" w:eastAsia="楷体"/>
          <w:spacing w:val="-4"/>
          <w:sz w:val="32"/>
          <w:szCs w:val="32"/>
        </w:rPr>
        <w:tab/>
        <w:t>管养公路日常养护里程数</w:t>
      </w:r>
      <w:r>
        <w:rPr>
          <w:rStyle w:val="17"/>
          <w:rFonts w:hint="eastAsia" w:ascii="楷体" w:hAnsi="楷体" w:eastAsia="楷体"/>
          <w:spacing w:val="-4"/>
          <w:sz w:val="32"/>
          <w:szCs w:val="32"/>
        </w:rPr>
        <w:tab/>
        <w:t>&gt;=455.042km</w:t>
      </w:r>
      <w:r>
        <w:rPr>
          <w:rStyle w:val="17"/>
          <w:rFonts w:hint="eastAsia" w:ascii="楷体" w:hAnsi="楷体" w:eastAsia="楷体"/>
          <w:spacing w:val="-4"/>
          <w:sz w:val="32"/>
          <w:szCs w:val="32"/>
        </w:rPr>
        <w:tab/>
        <w:t>455.042km</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质量指标</w:t>
      </w:r>
      <w:r>
        <w:rPr>
          <w:rStyle w:val="17"/>
          <w:rFonts w:hint="eastAsia" w:ascii="楷体" w:hAnsi="楷体" w:eastAsia="楷体"/>
          <w:spacing w:val="-4"/>
          <w:sz w:val="32"/>
          <w:szCs w:val="32"/>
        </w:rPr>
        <w:tab/>
        <w:t>公路日常养护质量合格率</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符合《公路养护技术规范》要求验收率</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保持路面清洁度</w:t>
      </w:r>
      <w:r>
        <w:rPr>
          <w:rStyle w:val="17"/>
          <w:rFonts w:hint="eastAsia" w:ascii="楷体" w:hAnsi="楷体" w:eastAsia="楷体"/>
          <w:spacing w:val="-4"/>
          <w:sz w:val="32"/>
          <w:szCs w:val="32"/>
        </w:rPr>
        <w:tab/>
        <w:t>&gt;=95%</w:t>
      </w:r>
      <w:r>
        <w:rPr>
          <w:rStyle w:val="17"/>
          <w:rFonts w:hint="eastAsia" w:ascii="楷体" w:hAnsi="楷体" w:eastAsia="楷体"/>
          <w:spacing w:val="-4"/>
          <w:sz w:val="32"/>
          <w:szCs w:val="32"/>
        </w:rPr>
        <w:tab/>
        <w:t>95%</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tab/>
        <w:t>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时效指标</w:t>
      </w:r>
      <w:r>
        <w:rPr>
          <w:rStyle w:val="17"/>
          <w:rFonts w:hint="eastAsia" w:ascii="楷体" w:hAnsi="楷体" w:eastAsia="楷体"/>
          <w:spacing w:val="-4"/>
          <w:sz w:val="32"/>
          <w:szCs w:val="32"/>
        </w:rPr>
        <w:tab/>
        <w:t>年度养护任务按计划开工率</w:t>
      </w:r>
      <w:r>
        <w:rPr>
          <w:rStyle w:val="17"/>
          <w:rFonts w:hint="eastAsia" w:ascii="楷体" w:hAnsi="楷体" w:eastAsia="楷体"/>
          <w:spacing w:val="-4"/>
          <w:sz w:val="32"/>
          <w:szCs w:val="32"/>
        </w:rPr>
        <w:tab/>
        <w:t>&gt;=95%</w:t>
      </w:r>
      <w:r>
        <w:rPr>
          <w:rStyle w:val="17"/>
          <w:rFonts w:hint="eastAsia" w:ascii="楷体" w:hAnsi="楷体" w:eastAsia="楷体"/>
          <w:spacing w:val="-4"/>
          <w:sz w:val="32"/>
          <w:szCs w:val="32"/>
        </w:rPr>
        <w:tab/>
        <w:t>95%</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4</w:t>
      </w:r>
      <w:r>
        <w:rPr>
          <w:rStyle w:val="17"/>
          <w:rFonts w:hint="eastAsia" w:ascii="楷体" w:hAnsi="楷体" w:eastAsia="楷体"/>
          <w:spacing w:val="-4"/>
          <w:sz w:val="32"/>
          <w:szCs w:val="32"/>
        </w:rPr>
        <w:tab/>
        <w:t>4</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ab/>
        <w:t>年度养护任务按计划完成率</w:t>
      </w:r>
      <w:r>
        <w:rPr>
          <w:rStyle w:val="17"/>
          <w:rFonts w:hint="eastAsia" w:ascii="楷体" w:hAnsi="楷体" w:eastAsia="楷体"/>
          <w:spacing w:val="-4"/>
          <w:sz w:val="32"/>
          <w:szCs w:val="32"/>
        </w:rPr>
        <w:tab/>
        <w:t>&gt;=95%</w:t>
      </w:r>
      <w:r>
        <w:rPr>
          <w:rStyle w:val="17"/>
          <w:rFonts w:hint="eastAsia" w:ascii="楷体" w:hAnsi="楷体" w:eastAsia="楷体"/>
          <w:spacing w:val="-4"/>
          <w:sz w:val="32"/>
          <w:szCs w:val="32"/>
        </w:rPr>
        <w:tab/>
        <w:t>95%</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4</w:t>
      </w:r>
      <w:r>
        <w:rPr>
          <w:rStyle w:val="17"/>
          <w:rFonts w:hint="eastAsia" w:ascii="楷体" w:hAnsi="楷体" w:eastAsia="楷体"/>
          <w:spacing w:val="-4"/>
          <w:sz w:val="32"/>
          <w:szCs w:val="32"/>
        </w:rPr>
        <w:tab/>
        <w:t>4</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二级指标</w:t>
      </w:r>
      <w:r>
        <w:rPr>
          <w:rStyle w:val="17"/>
          <w:rFonts w:hint="eastAsia" w:ascii="楷体" w:hAnsi="楷体" w:eastAsia="楷体"/>
          <w:spacing w:val="-4"/>
          <w:sz w:val="32"/>
          <w:szCs w:val="32"/>
        </w:rPr>
        <w:tab/>
        <w:t>三级指标</w:t>
      </w:r>
      <w:r>
        <w:rPr>
          <w:rStyle w:val="17"/>
          <w:rFonts w:hint="eastAsia" w:ascii="楷体" w:hAnsi="楷体" w:eastAsia="楷体"/>
          <w:spacing w:val="-4"/>
          <w:sz w:val="32"/>
          <w:szCs w:val="32"/>
        </w:rPr>
        <w:tab/>
        <w:t>预期指标值</w:t>
      </w:r>
      <w:r>
        <w:rPr>
          <w:rStyle w:val="17"/>
          <w:rFonts w:hint="eastAsia" w:ascii="楷体" w:hAnsi="楷体" w:eastAsia="楷体"/>
          <w:spacing w:val="-4"/>
          <w:sz w:val="32"/>
          <w:szCs w:val="32"/>
        </w:rPr>
        <w:tab/>
        <w:t>指标完成值</w:t>
      </w:r>
      <w:r>
        <w:rPr>
          <w:rStyle w:val="17"/>
          <w:rFonts w:hint="eastAsia" w:ascii="楷体" w:hAnsi="楷体" w:eastAsia="楷体"/>
          <w:spacing w:val="-4"/>
          <w:sz w:val="32"/>
          <w:szCs w:val="32"/>
        </w:rPr>
        <w:tab/>
        <w:t>完成率</w:t>
      </w:r>
      <w:r>
        <w:rPr>
          <w:rStyle w:val="17"/>
          <w:rFonts w:hint="eastAsia" w:ascii="楷体" w:hAnsi="楷体" w:eastAsia="楷体"/>
          <w:spacing w:val="-4"/>
          <w:sz w:val="32"/>
          <w:szCs w:val="32"/>
        </w:rPr>
        <w:tab/>
        <w:t>分值</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社会效益指标</w:t>
      </w:r>
      <w:r>
        <w:rPr>
          <w:rStyle w:val="17"/>
          <w:rFonts w:hint="eastAsia" w:ascii="楷体" w:hAnsi="楷体" w:eastAsia="楷体"/>
          <w:spacing w:val="-4"/>
          <w:sz w:val="32"/>
          <w:szCs w:val="32"/>
        </w:rPr>
        <w:tab/>
        <w:t>管养公路保畅通行率</w:t>
      </w:r>
      <w:r>
        <w:rPr>
          <w:rStyle w:val="17"/>
          <w:rFonts w:hint="eastAsia" w:ascii="楷体" w:hAnsi="楷体" w:eastAsia="楷体"/>
          <w:spacing w:val="-4"/>
          <w:sz w:val="32"/>
          <w:szCs w:val="32"/>
        </w:rPr>
        <w:tab/>
        <w:t>&gt;=95%</w:t>
      </w:r>
      <w:r>
        <w:rPr>
          <w:rStyle w:val="17"/>
          <w:rFonts w:hint="eastAsia" w:ascii="楷体" w:hAnsi="楷体" w:eastAsia="楷体"/>
          <w:spacing w:val="-4"/>
          <w:sz w:val="32"/>
          <w:szCs w:val="32"/>
        </w:rPr>
        <w:tab/>
        <w:t>0.95</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tab/>
        <w:t>20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石河子公路事业发展中心通过公路日常养护管理工作，公路服务水平得到了改善，解决了群众对通行的诉求，改善道路通行能力与服务水平，为群众出行提供了良好条件，有效的消除了公路安全隐患，使管养公路保畅通行率预期达到了95%，达到了计划标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二级指标</w:t>
      </w:r>
      <w:r>
        <w:rPr>
          <w:rStyle w:val="17"/>
          <w:rFonts w:hint="eastAsia" w:ascii="楷体" w:hAnsi="楷体" w:eastAsia="楷体"/>
          <w:spacing w:val="-4"/>
          <w:sz w:val="32"/>
          <w:szCs w:val="32"/>
        </w:rPr>
        <w:tab/>
        <w:t>三级指标</w:t>
      </w:r>
      <w:r>
        <w:rPr>
          <w:rStyle w:val="17"/>
          <w:rFonts w:hint="eastAsia" w:ascii="楷体" w:hAnsi="楷体" w:eastAsia="楷体"/>
          <w:spacing w:val="-4"/>
          <w:sz w:val="32"/>
          <w:szCs w:val="32"/>
        </w:rPr>
        <w:tab/>
        <w:t>预期指标值</w:t>
      </w:r>
      <w:r>
        <w:rPr>
          <w:rStyle w:val="17"/>
          <w:rFonts w:hint="eastAsia" w:ascii="楷体" w:hAnsi="楷体" w:eastAsia="楷体"/>
          <w:spacing w:val="-4"/>
          <w:sz w:val="32"/>
          <w:szCs w:val="32"/>
        </w:rPr>
        <w:tab/>
        <w:t>指标完成值</w:t>
      </w:r>
      <w:r>
        <w:rPr>
          <w:rStyle w:val="17"/>
          <w:rFonts w:hint="eastAsia" w:ascii="楷体" w:hAnsi="楷体" w:eastAsia="楷体"/>
          <w:spacing w:val="-4"/>
          <w:sz w:val="32"/>
          <w:szCs w:val="32"/>
        </w:rPr>
        <w:tab/>
        <w:t>完成率</w:t>
      </w:r>
      <w:r>
        <w:rPr>
          <w:rStyle w:val="17"/>
          <w:rFonts w:hint="eastAsia" w:ascii="楷体" w:hAnsi="楷体" w:eastAsia="楷体"/>
          <w:spacing w:val="-4"/>
          <w:sz w:val="32"/>
          <w:szCs w:val="32"/>
        </w:rPr>
        <w:tab/>
        <w:t>分值</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满意度指标</w:t>
      </w:r>
      <w:r>
        <w:rPr>
          <w:rStyle w:val="17"/>
          <w:rFonts w:hint="eastAsia" w:ascii="楷体" w:hAnsi="楷体" w:eastAsia="楷体"/>
          <w:spacing w:val="-4"/>
          <w:sz w:val="32"/>
          <w:szCs w:val="32"/>
        </w:rPr>
        <w:tab/>
        <w:t>司乘人员满意度</w:t>
      </w:r>
      <w:r>
        <w:rPr>
          <w:rStyle w:val="17"/>
          <w:rFonts w:hint="eastAsia" w:ascii="楷体" w:hAnsi="楷体" w:eastAsia="楷体"/>
          <w:spacing w:val="-4"/>
          <w:sz w:val="32"/>
          <w:szCs w:val="32"/>
        </w:rPr>
        <w:tab/>
        <w:t>&gt;=85%</w:t>
      </w:r>
      <w:r>
        <w:rPr>
          <w:rStyle w:val="17"/>
          <w:rFonts w:hint="eastAsia" w:ascii="楷体" w:hAnsi="楷体" w:eastAsia="楷体"/>
          <w:spacing w:val="-4"/>
          <w:sz w:val="32"/>
          <w:szCs w:val="32"/>
        </w:rPr>
        <w:tab/>
        <w:t>0.85</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tab/>
        <w:t>10</w:t>
      </w:r>
      <w:r>
        <w:rPr>
          <w:rStyle w:val="17"/>
          <w:rFonts w:hint="eastAsia" w:ascii="楷体" w:hAnsi="楷体" w:eastAsia="楷体"/>
          <w:spacing w:val="-4"/>
          <w:sz w:val="32"/>
          <w:szCs w:val="32"/>
        </w:rPr>
        <w:tab/>
        <w:t>10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石河子公路事业发展中心通过公路日常养护管理工作，保障沿线路容路貌完好，路面干净整洁，路肩整洁，路基边坡顺适，排水设施畅通，完全防护设施完善，线形流畅，各种标志醒目齐全，达到：“畅、安、舒、美”的道路环境，司乘人员满意度预期达到95%，达到了计划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经过自评，该项目按照财政部设定的绩效目标较好完成，未出现偏离情况。</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对管辖路段每条线路建立日常养护项目清单、计量支付台账，实现养护项目精细化管理。每月依据相关制度、相关养护技术规范对各分中心日常养护项目质量进行实地检查验收，并对分中心每月养护项目进行计量支付，不合格的项目坚决不予计量。通过对养护资金采取的项目管理模式，真正实现了对养护资金的科学管理。二是开展年初、年末及不定期的检查工作、项目现场检查核实等手段，对各单位的养护工作进行检查，包括评价基础数据收集、资料来源和依据等佐证材料情况，对存在不足的单位给予指导、帮助，提出问题，通报整改。三是对好的做法进行经验总结及推广，不断促进公路养护工作更好地发展。学习先进省份检查考核办法，不断检查评价手段，切实提高我中心养护管理、监督管理、考核评价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年度的公路日常养护工作已经按照自治区下达计划按期完成。目前的日常养护资金仅能维持部分基本的路面坑槽修补及翻浆等影响行车安全的病害处置，为达到“十五五”公路养护管理发展纲要和公众日益增长的个性化的出行需求，由于资金短缺难以与交通运输部提倡预防性养护的养护理念保持同步，与实际养护需求存在一定的缺口。在建设环境与生态保护型社会的大背景下，对公路防尘保洁工作也提出更高的要求，提倡绿色养护也促使我们选择更环保的养护新材料、新工艺，公路日常养护成本也大大增加。</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方面能以更好地满足公众出行提供更好的路况服务为导向，综合考虑小修养护的实际需求，以各中心管养的里程及小修养护工作量为依据，分配小修养护费用，给予充足的资金支撑，做好国省干线公路的养护保通工作，以保障此项工作的正常开展。另一方面通过每月对小修养护工作的检查，对全中心各单位的养护工作进行评价，对存在不足的单位给予指导、帮助，对好的做法进行经验总结及推广，并进行通报，不断促进公路养护工作更好地发展。为交通参与者提供畅安舒美的通行环境，为我区地方经济发展做好公路通行保障。</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11104A9"/>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2026-09-02T10:15:51Z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