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3E46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139BFD9">
      <w:pPr>
        <w:spacing w:line="540" w:lineRule="exact"/>
        <w:jc w:val="center"/>
        <w:rPr>
          <w:rFonts w:ascii="华文中宋" w:hAnsi="华文中宋" w:eastAsia="华文中宋" w:cs="宋体"/>
          <w:b/>
          <w:kern w:val="0"/>
          <w:sz w:val="52"/>
          <w:szCs w:val="52"/>
        </w:rPr>
      </w:pPr>
    </w:p>
    <w:p w14:paraId="74FB4FA9">
      <w:pPr>
        <w:spacing w:line="540" w:lineRule="exact"/>
        <w:jc w:val="center"/>
        <w:rPr>
          <w:rFonts w:ascii="华文中宋" w:hAnsi="华文中宋" w:eastAsia="华文中宋" w:cs="宋体"/>
          <w:b/>
          <w:kern w:val="0"/>
          <w:sz w:val="52"/>
          <w:szCs w:val="52"/>
        </w:rPr>
      </w:pPr>
    </w:p>
    <w:p w14:paraId="37754932">
      <w:pPr>
        <w:spacing w:line="540" w:lineRule="exact"/>
        <w:jc w:val="center"/>
        <w:rPr>
          <w:rFonts w:ascii="华文中宋" w:hAnsi="华文中宋" w:eastAsia="华文中宋" w:cs="宋体"/>
          <w:b/>
          <w:kern w:val="0"/>
          <w:sz w:val="52"/>
          <w:szCs w:val="52"/>
        </w:rPr>
      </w:pPr>
    </w:p>
    <w:p w14:paraId="4C20053B">
      <w:pPr>
        <w:spacing w:line="540" w:lineRule="exact"/>
        <w:jc w:val="center"/>
        <w:rPr>
          <w:rFonts w:ascii="华文中宋" w:hAnsi="华文中宋" w:eastAsia="华文中宋" w:cs="宋体"/>
          <w:b/>
          <w:kern w:val="0"/>
          <w:sz w:val="52"/>
          <w:szCs w:val="52"/>
        </w:rPr>
      </w:pPr>
    </w:p>
    <w:p w14:paraId="048F9C3F">
      <w:pPr>
        <w:spacing w:line="540" w:lineRule="exact"/>
        <w:jc w:val="center"/>
        <w:rPr>
          <w:rFonts w:ascii="华文中宋" w:hAnsi="华文中宋" w:eastAsia="华文中宋" w:cs="宋体"/>
          <w:b/>
          <w:kern w:val="0"/>
          <w:sz w:val="52"/>
          <w:szCs w:val="52"/>
        </w:rPr>
      </w:pPr>
    </w:p>
    <w:p w14:paraId="1F8819E4">
      <w:pPr>
        <w:spacing w:line="540" w:lineRule="exact"/>
        <w:jc w:val="center"/>
        <w:rPr>
          <w:rFonts w:ascii="华文中宋" w:hAnsi="华文中宋" w:eastAsia="华文中宋" w:cs="宋体"/>
          <w:b/>
          <w:kern w:val="0"/>
          <w:sz w:val="52"/>
          <w:szCs w:val="52"/>
        </w:rPr>
      </w:pPr>
    </w:p>
    <w:p w14:paraId="5642F57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04D414FA">
      <w:pPr>
        <w:spacing w:line="540" w:lineRule="exact"/>
        <w:jc w:val="center"/>
        <w:rPr>
          <w:rFonts w:ascii="华文中宋" w:hAnsi="华文中宋" w:eastAsia="华文中宋" w:cs="宋体"/>
          <w:b/>
          <w:kern w:val="0"/>
          <w:sz w:val="52"/>
          <w:szCs w:val="52"/>
        </w:rPr>
      </w:pPr>
    </w:p>
    <w:p w14:paraId="057AF6D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2C6785E7">
      <w:pPr>
        <w:spacing w:line="540" w:lineRule="exact"/>
        <w:jc w:val="center"/>
        <w:rPr>
          <w:rFonts w:hAnsi="宋体" w:eastAsia="仿宋_GB2312" w:cs="宋体"/>
          <w:kern w:val="0"/>
          <w:sz w:val="30"/>
          <w:szCs w:val="30"/>
        </w:rPr>
      </w:pPr>
    </w:p>
    <w:p w14:paraId="7197C31C">
      <w:pPr>
        <w:spacing w:line="540" w:lineRule="exact"/>
        <w:jc w:val="center"/>
        <w:rPr>
          <w:rFonts w:hAnsi="宋体" w:eastAsia="仿宋_GB2312" w:cs="宋体"/>
          <w:kern w:val="0"/>
          <w:sz w:val="30"/>
          <w:szCs w:val="30"/>
        </w:rPr>
      </w:pPr>
    </w:p>
    <w:p w14:paraId="65461408">
      <w:pPr>
        <w:spacing w:line="540" w:lineRule="exact"/>
        <w:jc w:val="center"/>
        <w:rPr>
          <w:rFonts w:ascii="方正小标宋_GBK" w:hAnsi="宋体" w:eastAsia="方正小标宋_GBK" w:cs="宋体"/>
          <w:kern w:val="0"/>
          <w:sz w:val="36"/>
          <w:szCs w:val="36"/>
        </w:rPr>
      </w:pPr>
    </w:p>
    <w:p w14:paraId="7BFB42B6">
      <w:pPr>
        <w:spacing w:line="540" w:lineRule="exact"/>
        <w:jc w:val="center"/>
        <w:rPr>
          <w:rFonts w:hAnsi="宋体" w:eastAsia="仿宋_GB2312" w:cs="宋体"/>
          <w:kern w:val="0"/>
          <w:sz w:val="30"/>
          <w:szCs w:val="30"/>
        </w:rPr>
      </w:pPr>
    </w:p>
    <w:p w14:paraId="08A3F1D6">
      <w:pPr>
        <w:spacing w:line="540" w:lineRule="exact"/>
        <w:jc w:val="center"/>
        <w:rPr>
          <w:rFonts w:hAnsi="宋体" w:eastAsia="仿宋_GB2312" w:cs="宋体"/>
          <w:kern w:val="0"/>
          <w:sz w:val="30"/>
          <w:szCs w:val="30"/>
        </w:rPr>
      </w:pPr>
    </w:p>
    <w:p w14:paraId="6BB9FB93">
      <w:pPr>
        <w:spacing w:line="540" w:lineRule="exact"/>
        <w:jc w:val="center"/>
        <w:rPr>
          <w:rFonts w:hAnsi="宋体" w:eastAsia="仿宋_GB2312" w:cs="宋体"/>
          <w:kern w:val="0"/>
          <w:sz w:val="30"/>
          <w:szCs w:val="30"/>
        </w:rPr>
      </w:pPr>
    </w:p>
    <w:p w14:paraId="134B7AFA">
      <w:pPr>
        <w:spacing w:line="540" w:lineRule="exact"/>
        <w:rPr>
          <w:rFonts w:hAnsi="宋体" w:eastAsia="仿宋_GB2312" w:cs="宋体"/>
          <w:kern w:val="0"/>
          <w:sz w:val="30"/>
          <w:szCs w:val="30"/>
        </w:rPr>
      </w:pPr>
    </w:p>
    <w:p w14:paraId="4FB416B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11A42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公路日常养护</w:t>
      </w:r>
    </w:p>
    <w:p w14:paraId="6FAF924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昌吉公路管理局</w:t>
      </w:r>
    </w:p>
    <w:p w14:paraId="5F7A873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昌吉公路管理局</w:t>
      </w:r>
    </w:p>
    <w:p w14:paraId="00002D3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李旭娟</w:t>
      </w:r>
    </w:p>
    <w:p w14:paraId="5DD7EC8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2026年03月12日</w:t>
      </w:r>
    </w:p>
    <w:p w14:paraId="33533E46">
      <w:pPr>
        <w:spacing w:line="700" w:lineRule="exact"/>
        <w:ind w:firstLine="708" w:firstLineChars="236"/>
        <w:jc w:val="left"/>
        <w:rPr>
          <w:rFonts w:hAnsi="宋体" w:eastAsia="仿宋_GB2312" w:cs="宋体"/>
          <w:kern w:val="0"/>
          <w:sz w:val="30"/>
          <w:szCs w:val="30"/>
        </w:rPr>
      </w:pPr>
    </w:p>
    <w:p w14:paraId="42A5CDC4">
      <w:pPr>
        <w:spacing w:line="540" w:lineRule="exact"/>
        <w:rPr>
          <w:rStyle w:val="18"/>
          <w:rFonts w:ascii="黑体" w:hAnsi="黑体" w:eastAsia="黑体"/>
          <w:b w:val="0"/>
          <w:spacing w:val="-4"/>
          <w:sz w:val="32"/>
          <w:szCs w:val="32"/>
        </w:rPr>
      </w:pPr>
    </w:p>
    <w:p w14:paraId="35F8583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650270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4C8C035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深入贯彻《中华人民共和国公路法》《新疆维吾尔自治区实施〈中华人民共和国公路法〉办法》及自治区、地州关于公路养护管理与预算绩效管理相关要求，坚持建设与养护并重、预防与处置并举，保障辖区内国省干线公路常年完好、安全畅通，切实提升公路通行能力与服务品质，支撑区域经济社会发展与民生出行保障，我中心组织实施2025年度公路日常养护项目。项目以常态化巡查、路面病害处置、路基边坡维护、交安设施维保、排水清淤、路域环境整治、冬季除雪保通、汛期应急处置为核心任务，全面落实日常养护标准化、规范化、精细化管理，确保公路技术状况稳定达标，最大限度延长道路使用寿命，降低全生命周期养护成本，充分发挥公共财政资金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昌吉公路事业发展中心隶属于自治区公路事业发展中心，主要负责昌吉州境内国道、省道和管辖范围内专用公路的养护和质量管理，公路沿线服务设施的管理，公路养护工程项目组织实施工作。根据交通运输厅授权，负责经营性收费公路行业管理及交通运输厅委托（辅助）权力事项等各项工作。 2025年我中心共管养国省干线公路24条，其中国道4条合计695.666km（G216线、G335线、G331线、G312线），省道11条合计457.528km（S101线、S111线、S203线、S228线、S231线、S239线、S241线、S246线、S248线、S322线、S327线），专用公路9条合计101.932km，管养里程1255.126公里，桥梁229座，涵洞2180道，隧道1座（东天山隧道）全长1.69公里，避险车道5处。共下设8个养护所（昌吉、硫磺沟、呼图壁、玛纳斯、阜康、吉木萨尔、奇台、木垒养护所），3个收费站（大黄山、双涝坝、白杨河收费站）、2个服务区（包家店、将军戈壁服务区）及3个停车区（三台停车区、五马场停车区、北塔山停车区），25个养护站，26个交通量观测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实施情况：2025年依据技术状况调查结果对区段内病害进行科学分析、研判病害成因及发展程度，分解各条线路路况预期指标，结合管养线路路域特点、路况水平及全年养护工作重点，科学制定全年养护计划、桥隧涵日常养护计划，有序开展全年养护作业。一是按照养护策略要求优先处治路面影响行车安全的路面病害，最大限度提升路况水平。2025年共计完成优良路裂缝处治514736.2米；中等路PCI≧70路段单条裂缝41198.4米，网状裂缝24912.58平方米；中等路PCI&lt;70路段网状裂缝24719.86平方米；次差路段网状裂缝19705.88平方米。二是利用有限资金开展次差路病害集中处治，达到改善路况，提分升等的目的。本年度共计处治次差路8公里，完成路面龟裂病害处治7881.76平方米。三是针对10公里中等路提优处治路面裂缝9976.1延米，处治影响行车安全的病害3100.66平方米。四是开展国省干线公路路容路貌集中整治工作，打造“畅、安、舒、美”的通行环境。截</w:t>
      </w:r>
      <w:r>
        <w:rPr>
          <w:rStyle w:val="18"/>
          <w:rFonts w:hint="eastAsia" w:ascii="楷体" w:hAnsi="楷体" w:eastAsia="楷体"/>
          <w:spacing w:val="-4"/>
          <w:sz w:val="32"/>
          <w:szCs w:val="32"/>
          <w:lang w:eastAsia="zh-CN"/>
        </w:rPr>
        <w:t>至</w:t>
      </w:r>
      <w:bookmarkStart w:id="0" w:name="_GoBack"/>
      <w:bookmarkEnd w:id="0"/>
      <w:r>
        <w:rPr>
          <w:rStyle w:val="18"/>
          <w:rFonts w:hint="eastAsia" w:ascii="楷体" w:hAnsi="楷体" w:eastAsia="楷体"/>
          <w:spacing w:val="-4"/>
          <w:sz w:val="32"/>
          <w:szCs w:val="32"/>
        </w:rPr>
        <w:t>目前，完成路面保洁10273.5万平方米，清理煤堆杂物826立方米，清理路肩、边坡杂物3227.7万平方米，整修路肩边坡557.9万平方米，清理落石塌方1000立方米；清洗里程碑6492块，清洗标志牌11257套，清洗波形护栏1242千米，清洗示警桩31664根；清理桥面620千平方米，清理桥面泄水孔9983个，清除桥面伸缩缝杂物15322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养护市场化路段全年完成坑槽冷补料修补645平方米、沥青路面铣刨摊铺28921平方米、人工修补2669.44平方米、应急临时修补408.2平方米；完成沥青碎石上封层2908.2平方米、下封层22711.93平方米，25cm水稳层冷再生处理12129.3平方米；用贴缝带处置路面纵横缝33416米；清理边坡杂物140000平方米，维修路肩车辙520延米，疏通边沟400延米、清洁里程碑86块、标志牌304块、清洗护栏21987米、百米号喷字932块，人工清扫桥面34650.0平方米，人工清扫踏步8365.6平方米，桥下杂物清理125.6立方米，伸缩缝清理945延米、泄水孔疏通540处，铰缝维修71.4延米；清理涵洞淤积186立方米、涵体杂物清理141道、帽石维修10延米，涵洞裂缝封闭3延米，完成8座桥梁、6道涵洞的系统性养护对桥梁实施聚合物砂浆防腐处理（三层）3001.92平方米、壁可法裂缝修复110.2延米、桥梁混凝土泛碱650.3平方米、裂缝封闭1698.5延米；聚合物砂浆防腐处理处理（三层）391.78平方米，维修缆索护栏600延米、更换护栏板84延米、校正护栏立柱38根、清洁护栏240000延米，保障护栏防护功能；更换警示桩24根、新增示警桩17根，贴警示桩反光膜144.12平方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公路日常养护项目年度预算资金2893.5万元，其中财政资金2893.5万元，其他资金0万元，资金全部按时足额到位，到位率100%。项目资金严格实行专款专用、专账核算、专项管理，主要用于养护材料费、养护机械、车辆燃料、维修及保险费、委托业务费等支出。在使用过程中，严格执行财务管理制度和资金支付流程，履行审批手续，确保资金使用与项目实施进度同步匹配。截至评价期末，项目实际支出2893.5万元，预算执行率100%，资金使用合规、高效，无截留、挤占、挪用、套取资金等违规行为，切实发挥了财政资金的保障作用。</w:t>
      </w:r>
    </w:p>
    <w:p w14:paraId="3AFDBC8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37FD1D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通过部颁《公路养护技术规范》、《交通运输部关于进一步加强公路桥梁养护管理的若干意见》交公路发〔2013〕321号、《公路长大桥隧养护管理和安全运行若干规定》、《公路桥梁养护管理工作制度》（交公路发〔2007〕336号）要求，开展国省干线公路路基、路面、桥涵、隧道、沿线设施的日常养护管理工作。对管养路段存在的病害进行修复及各项预防性养护，合理实施小修养护延缓公路衰减，增加公路使用寿命,为公众出行提供安全的通行环境。依据交通运输部颁发的《公路养护技术规范》，用于管养的公路防风雪保交通，及时有效清除路面、中央分隔带、路肩积冰、积雪、风积雪，撒布防滑砂、融雪剂，修补路面坑槽，确保冬季除雪任务按《公路养护技术规范》要求的时限完成。按照部颁《公路养护技术规范》要求，积极开展公路经常性检查、定期检查、特殊检查、专项检查和加强日常巡道，及时发现损坏的公路及附属设施，及时修复和更换被损坏的路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围绕安全、便捷、高效、绿色、经济、现代公路养护体系建设，持续提升公路技术状况、服务品质、应急保障、管理效能；确保国省干线公路列养全覆盖、质量稳提升、运行更安全、群众更满意；构建标准化养护、规范化管理、精细化作业、信息化支撑的长效机制，保障公路资产完好与路网可持续运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昌吉公路事业发展中心养护管理季度考评评价细则》等相关管理制度，结合相关规章制度以及财务相关资料，对项目进行评价。通过在5月底、8月底两个节点监控项目执行情况，提升预算执行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（1）第一季度（1—3月）：开局部署与冬季养护</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完成年度养护计划编制、责任分解、人员设备到位；开展春运及冬季保通，清雪除冰、隐患排查整治；完成路面坑槽处治、保洁、设施检修等，年度养护任务完成率≥25%。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（2）第二季度（4—6月）：集中整治与提质增效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全面推进路面病害处置、标线补划、护栏维修、绿化管护；开展汛期隐患排查与排水系统疏通；年度养护任务完成率≥50%，路况质量稳步提升。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（3）第三季度（7—9月）：汛期保通与高温养护</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强化雨季巡查、水毁预防与应急处置；实施高温季预防性养护，严控路面病害发展；年度养护作业完成率≥75%，安全形势平稳。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（4）第四季度（10—12月）：收官提升与考核迎检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全面完成年度日常养护任务，查漏补缺、巩固路况；开展年度自评、资料归档、绩效自评；年度目标100%完成，优良路率、群众满意度、资金合规率全面达标。</w:t>
      </w:r>
    </w:p>
    <w:p w14:paraId="222EB2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39FAB35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1D3F0F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目的：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对象：按照自治区财政厅《关于组织实施2025年度自治区本级预算绩效评价工作的通知》文件要求对2025年度我单位实施的公路日常养护项目开展部门绩效评价，项目总金额2893.5万元。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范围：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14:paraId="17FF9A6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1C08030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（1）在数据采集时，采取客观数据，主管部门审查，以保证各项指标的真实性。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（3）绩效评价报告应当简明扼要，除了对绩效评价的过程、结果描述外，还应总结经验，指出问题，并就共性问题提出可操作性改进建议。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我单位根据项目的实施资料研读及前期调研，结合项目的实际开展情况，将项目的指标体系进行了调整和完善，最终形成了项目绩效评价指标体系。我单位已将项目绩效评价指标体系模板上传到系统中。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单位自评采用定量与定性评价相结合的比较法，将项目实施情况与绩效目标进行比较，把项目实际完成指标情况与年度指标值进行对比，形成评价结果。总体采用比较法，同时辅以文献法、成本效益法、因素分析法以及公众评判法，根据不同三级指标类型进行逐项分析。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（1）定量指标分析环节：主要采用比较法，对比三级指标预期指标值和三级指标截止评价日的完成情况，综合分析绩效目标实现程度。详细评价方法的应用如下: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绩效指标明确性：比较法和因素分析法，比较分析年初编制项目支出绩效目标表是否符合双七原则，是否可衡量。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资金分配合理性：因素分析法，综合分析资金的分配依据是否充分，分配金额是否与项目实施单位需求金额一致。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④资金到位率：按照完成比率得分，并分析实际完成值和预期指标值之间的差距和原因。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预算执行率：按照完成比率得分，并分析实际完成值和预期指标值之间的差距和原因。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⑤资金使用合规性：比较法、文献法和因素分析法等，通过实地调研，检查项目资金使用情况，对比专项资金管理办法要求，分析资金使用合规性。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⑥管理制度健全性：文献法、比较法和因素分析法等，通过查阅项目实施单位提供的财务和业务管理制度，将已建立的制度与现行的法律法规和政策要求进行对比，分析项目制度的合法性、合规性、完整性。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制度执行有效性：比较法，结合项目实际实施过程性文件，根据已建立的财务管理制度和项目管理制度综合分析制度执行的有效性。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⑦其他定性指标：公众评判法，通过问卷及抽样调查等方式评价本项目实施后社会公众对于其实施效果的满意程度。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14:paraId="42DD397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86A453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为进一步强化预算绩效管理，完善预算控制体系，加强预算执行监督检查，保障绩效评价工作合法合规，昌吉公路事业发展中心内部控制暨内部审计领导小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14:paraId="4DD27742">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2923359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次公路日常养护绩效评价工作严格按照绩效评价相关要求，围绕年度养护目标、资金使用、任务完成、服务质量、群众满意度等方面开展全面评价。总体来看，2025年公路日常养护工作组织有力、措施到位、管理规范、成效显著，较好完成了各项既定任务目标，养护质量、路况水平、通行环境和服务能力均得到明显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日常养护管理方面，通过压实养护责任、健全管理机制、强化目标考核与绩效管理，实现了养护工作制度化、规范化、精细化推进。坚持材料规范化、施工科学化、病害处治彻底化，全面提升养护作业标准，公路路况稳定向好，路容路貌整洁美观，路面、路基、桥涵及附属设施保持良好技术状况，公路安全通行能力持续增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在资金使用方面，养护资金管理规范、拨付及时、使用高效，做到专款专用、精打细算，有效保障了日常养护、应急处置、设施维修等工作顺利开展，资金使用效益较高。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在服务保障方面，积极应用新技术、新设备、新工艺，不断提高养护机械化水平和作业效率，公路通行更加畅通、安全、舒适、和谐，司乘人员满意度达到90%，高于预期目标，群众认可度高，社会反响良好。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综合各项指标完成情况、资金使用效益、养护管理成效及社会满意度评价，本次公路日常养护工作绩效目标全面完成，任务落实到位，管理规范有序，服务成效显著，群众满意度高，圆满实现年度养护绩效目标。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评价结论： 公路日常养护项目绩效评价结果为优秀。</w:t>
      </w:r>
    </w:p>
    <w:p w14:paraId="33A7309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023115A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712B111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项目决策由3个二级指标和6个三级指标构成，权重分20分，实际得分20分。具体如下：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可行性研究、专家论证、风险评估、绩效评估。项目立项依据充分，符合</w:t>
      </w: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rPr>
        <w:t>中华人民共和国公路法</w:t>
      </w: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rPr>
        <w:t>、中华人民共和国交通运输部发布的《公路养护技术规范》《公路桥涵养护规范》《公路隧道养护技术规范》《公路沥青路面预防性养护技术规范》《公路路基养护技术规范》《交通运输部关于进一步加强公路桥梁养护管理的若干意见》交公路发〔2013〕321号、《公路长大桥隧养护管理和安全运行若干规定》《公路桥梁养护管理工作制度》及自治区公路事业发展中心下发的《公路日常养护作业频率及修复时限》等相关法律法规及行业要求，严格贯彻落实交通运输部、新疆交通运输厅、自治区公路事业发展中心相关的法律、法规、规范，落实《公路法》，严格履行部门职责，切实保障了所辖公路沿线设施完好，道路安全畅通，本项目属于公共财政支持范围，符合中央、地方事权支出责任划分原则，项目立项依据充分，没有重复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绩效目标依据《公路养护技术规范》要求，贯彻“预防为主，防治结后”的方针，加强预防性养护，保持公路及其沿线设施良好的技术状况，项目绩效目标紧贴实际日常养护工作内容，项目预期产出效益和效果符合技术规范要求，与预算确定的项目投资额或资金量相匹配。项目绩效目标明确，细化分解为具体的绩效指标，通过清晰、可衡量的指标值予以体现，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其中普通公路日常养护2567.5万元、收费公路日常养护326万元。其中公路、桥隧养护费1842万元：包括公路、桥梁、隧道三部分；沙害公路养护费用21万元：主要为G216线K644+000-K678+420段区域内固沙带进行恢复，按照《公路养护技术规范》标准，0.6万元/km计算,预算费用21万元；乌昌公路保洁费用45万元：按照历年开展该项工作所需经费，测算乌昌周边主要通道174.297公里的路面保洁费用46万元。避险车道养护费17.5万元：是根据《交通运输部关于进一步加强公路桥梁养护管理的若干意见》（交公路发〔2013〕321号）文件要求，按照《公路养护技术规范》标准，3.5万元/处的要求，测算管养避险车道5处费用17.5万元；冬季除雪保通费377万元，根据《自治区公路事业发展中心公路冬季养护管理制度》文件要求，主要用于公路除冰除雪保通，①按照厅核定成本1600元/公里计算的普通公路防雪保交通费用，按照厅核定成本2000元/公里测算的收费公路防雪保交通费用。②除雪机专项维修费：进口除雪机专项维修费，除雪机随着使用年限的增加，技术状况在不断下降，但仍然是我中心冬季除雪的主要力量，年维修费用也在逐年增加。由于不计提折旧，特需申请专项资金（进口除雪机按1万/台.年计算），以提高除雪机的技术状况，保证冬季防雪保交通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2025年度我单位实施的公路日常养护项目总金额2893.5万元，主要完成公路路基、路面、桥涵、隧道、沿线设施的日常养护管理工作。对管养路段存在的病害进行修复及各项预防性养护，合理实施小修养护延缓公路衰减，增加公路使用寿命,为公众出行提供安全的通行环境。预算资金依据公路等级、交通量、公路技术状况等指标进行合理分配，资金分配额度合理，与实际相适应。</w:t>
      </w:r>
    </w:p>
    <w:p w14:paraId="114B6E3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413608A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管理分值12分，得分12分。其中资金到位率分值4分，得分4分：该项目预算资金2893.5万元，到位资金2893.5万元，实际支出资金2893.5万元，资金到位率100.00%，预算执行率100.00%。预算执行率分值4分，得分4分，2025年度我单位实施的公路日常养护项目总金额2893.5万元，主要完成1255.126公里国省干线公路公路路基、路面、桥涵、隧道、沿线设施的日常养护管理工作，预算执行率100.00%；资金使用合规性分值4分，得分4分，项目实施过程中严格按照昌吉公路事业发展中心《日常养护管理办法》资金使用严格执行《日常养护费用分配与计量支付管理办法》，预算执行合规、合理。公路、桥隧养护费1842万元，每季度按照日常养护完成工程量进行计量支付；沙害公路养护费用21万元，工程采用竞争性谈判方式确定施工单位，工程完工进行工程验收，合格后支付；乌昌公路保洁费用46万元，按月计量支付；避险车道养护费17.5万元，按月计量支付；冬季除雪保通费377万元，采用计量支付。该项目资金使用合规，符合国家财经法规和财务管理制度以及有关专项资金管理办法的规定，资金支付均具有完整的审批程序和手续，与预算批复内容相符，不存在截留、挤占、挪用、虚列支出等情况，计量支付批复程序符合昌吉公路事业发展中心《日常养护费用分配与计量支付管理办法》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组织实施分值8分，得分8分。其中管理制度健全性分值4分，得分4分，该项目组织实施工程中严格按照昌吉公路事业发展中心《专项支出计划管理办法》《公路养护支出计划及车辆通行费支出计划分解办法》《日常养护费用分配与计量支付管理办法》《日常养护管理办法》《预算管理办法》等执行，财务和业务管理制度健全，且合法、合规、完整，制度执行遵守相关法律法规和相关管理规定；制度执行有效性分值4分，得分4分。每年与养护所签订《目标责任书》，完成日常养护策略分析，审核下达年度养护计划，按月进行计量支付，项目合同书、验收报告、技术鉴定等资料齐全并及时归档，项目实施的人员条件、场地设备、信息支撑等落实到位。</w:t>
      </w:r>
    </w:p>
    <w:p w14:paraId="65A4ED3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7EDED54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1、项目产出类指标由3个二级指标和6个三级指标构成，权重分30分，实际得分30分。具体如下：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管养公路日常养护里程数”指标，预期指标值&gt;=1255.126公里，指标完成值为1255.126公里，完成率为100%，分值5分，得分5分。2025年完成了1255.126公里国省干线公路路基、路面、桥涵、隧道、沿线设施的日常养护管理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公路日常养护质量合格率”指标，预期指标值=100%，指标完成值为100%，完成率为100%，分值5分，得分5分。日常养护加强质量监管，严格计量支付，养护所技术人员现场监督，中心按季度复核，确保了养护作业实施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符合《公路养护技术规范》要求验收率”指标，预期指标值=100%，指标完成值为100%，完成率为100%，分值5分，得分5分。严格执行昌吉公路事业发展中心《养护工作检查和考核管理办法》《昌吉公路事业发展中心养护及设备管理激励机制考核办法》对管养线路路况及中心所属养护所、养护站养护管理作业开展检查、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持路面清洁度”指标，预期指标值&gt;=95%，指标完成值为100%，完成率为100%，分值5分，得分5分。本年度严格落实公路日常清扫保洁制度，坚持常态化清扫与重点路段集中整治相结合，及时清理路面垃圾、杂物、扬尘及散落物，持续保持公路路面干净整洁、通行舒适。经日常巡查、季度考核及年度综合评价，公路路面清洁度指标全面完成，完成率达到100%，有效保障了公路通行环境整洁美观，提升了公路服务品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“年度养护任务按计划开工率”指标，预期指标值为≥95%，指标完成值为100%，完成率为100%，分值5分，得分5分。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“年度养护任务按计划完成率”指标，预期指标值为≥95%，指标完成值为100%，完成率为100%，分值5分，得分5分。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年度严格按照既定工作计划推进各项养护任务，年度养护任务按计划开工率、按计划完工率均实现100%。所有日常养护、小修保养及专项整治工作均按期组织实施、有序推进、及时收尾，未出现延期开工、滞后完工等情况，确保了养护工作高效落实、闭环管理，全面完成了年度时效类绩效目标。</w:t>
      </w:r>
    </w:p>
    <w:p w14:paraId="00419FD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4E97E1E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项目效益类指标由1个二级指标和1个三级指标构成，权重分20分，实际得分20分。具体如下：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养公路保畅通行率”指标，预期指标值为≥95%，指标完成值为95%，完成率为100%，分值20分，得分20分。本年度我中心始终将“保畅通、保民生”置于绩效目标首位，严格执行日常养护巡查机制。依托精准的数据监测与高效的应急响应体系，实现辖区路网管养公路保畅通行率95% 的目标。这一成绩确保了区域交通大动脉的安全有序，极大提升了道路服务水平与公众出行满意度，筑牢了地方经济社会发展的交通基石。</w:t>
      </w:r>
    </w:p>
    <w:p w14:paraId="39B768A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满意度指标由1个二级指标和1个三级指标构成，权重分10分，实际得分10分。具体如下：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司乘人员满意度”指标，预期指标值为≥85%，指标完成值为90%，完成率为100%，分值10分，得分10分。本年度依托精细化养护管理模式，公路日常养护工作全面提质。通过强化巡查频次、优化路容路貌及提升服务响应速度，司乘人员满意度达到90%，高于≥85%的考核标准。群众对道路通行环境、设施完好程度及应急保障能力的认可度普遍较高，超额完成绩效目标，树立了良好的公路服务形象。</w:t>
      </w:r>
    </w:p>
    <w:p w14:paraId="4AF53323">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026D450E">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2025年昌吉公路事业发展中心紧盯年度重点工作目标，调整工作方案、优化工作路线，全力抢工期、追进度、抓养护、促收费，保质保量按期完成既定目标任务。明确养护管理责任，健全养护管理机构，创新养护管理模式，强化养护职能，实行目标考核、绩效管理，全力打造“畅通、安全、舒适、和谐”的公路通行环境，有效提升公路综合服务水平。切实把为民的好事办好，实事办实。积极利用新技术、新设备开展日常养护工作，提高机械化水平，提高养护效率，提高养护资金使用效率，保障公路安全运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随着社会车辆的不断增多，我们目前管养的国省干线公路很多已趋于老化，很多公路运营已达十余年，路况水平较差，严重影响公众安全通行和公路整体服务水平，并且部分路线由于交通量较大，路况水平差，经常发生交通阻断、群众投诉率较高。部分线路修建时未配套相应机械设备，基层单位现有的机械设备无法满足公路养护和冬季除雪保通的需求，建议增加机械设备投入。建议加大养护资金和机械设备投入，确保公路病害得到及时处理，增加公路使用寿命。</w:t>
      </w:r>
    </w:p>
    <w:p w14:paraId="221E1433">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16FC125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1.？加强日常养护，全面提升公路服务品质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公路日常养护为核心抓手，以落实养护目标责任制为主要手段，全面推进精细化、常态化养护。针对部分路段基础薄弱、抗灾能力不足、险情较多的实际情况，集中力量改善路容路貌，持续提升路况整体质量。通过签订养护目标管理责任书，强化对养护生产的宏观统筹与指导，完善激励约束机制，加大巡查监督力度，及时有效处置公路病害，实现养护质量的稳步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2.？强化质量意识，坚持规范化、标准化养护</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严格遵照交通部《公路养护质量技术标准》开展作业，做到学标准、用标准、守标准，全面提升养护技术水平。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一是养护材料规范化。 坚持以质量为核心，严格执行交通部《公路养护质量技术标准》及相关规范要求，全面推行工程材料规范化管理，从源头筑牢养护工程质量基础。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二是施工手段科学化。 严把质量关，全面推行路面、路肩、边沟及附属设施综合养护。重点抓好沥青路面灌缝、修补作业，强化雨季养护与防汛防雪等重点工作，为保质保量完成任务提供坚实保障；同时科学管控养护经费，确保支出合规、高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三是旧路挖补处治彻底化。 加强施工全过程技术监督与指导，推动挖补修复做到彻底、规范、标准。同时树立环保理念，保护沿线植被，实现公路与自然和谐共生，确保路面平整、路肩整洁、边沟畅通，打造优良通行环境。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3.？加大资金投入，推动国省干线公路升级改造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持续加大养护资金投入力度，聚焦国省干线公路升级改造工程，不断完善路网结构，提升干线公路通行能力与服务水平，为区域经济社会发展提供更加可靠的公路交通保障。</w:t>
      </w:r>
    </w:p>
    <w:p w14:paraId="5F18B802">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6F0B792D">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3D77E4CA">
      <w:pPr>
        <w:spacing w:line="540" w:lineRule="exact"/>
        <w:ind w:firstLine="567"/>
        <w:rPr>
          <w:rStyle w:val="18"/>
          <w:rFonts w:ascii="仿宋" w:hAnsi="仿宋" w:eastAsia="仿宋"/>
          <w:b w:val="0"/>
          <w:spacing w:val="-4"/>
          <w:sz w:val="32"/>
          <w:szCs w:val="32"/>
        </w:rPr>
      </w:pPr>
    </w:p>
    <w:p w14:paraId="1AEB3E17">
      <w:pPr>
        <w:spacing w:line="540" w:lineRule="exact"/>
        <w:ind w:firstLine="567"/>
        <w:rPr>
          <w:rStyle w:val="18"/>
          <w:rFonts w:ascii="仿宋" w:hAnsi="仿宋" w:eastAsia="仿宋"/>
          <w:b w:val="0"/>
          <w:spacing w:val="-4"/>
          <w:sz w:val="32"/>
          <w:szCs w:val="32"/>
        </w:rPr>
      </w:pPr>
    </w:p>
    <w:p w14:paraId="625BEBB6">
      <w:pPr>
        <w:spacing w:line="540" w:lineRule="exact"/>
        <w:ind w:firstLine="567"/>
        <w:rPr>
          <w:rStyle w:val="18"/>
          <w:rFonts w:ascii="仿宋" w:hAnsi="仿宋" w:eastAsia="仿宋"/>
          <w:b w:val="0"/>
          <w:spacing w:val="-4"/>
          <w:sz w:val="32"/>
          <w:szCs w:val="32"/>
        </w:rPr>
      </w:pPr>
    </w:p>
    <w:p w14:paraId="45E6E0F2">
      <w:pPr>
        <w:spacing w:line="540" w:lineRule="exact"/>
        <w:ind w:firstLine="567"/>
        <w:rPr>
          <w:rStyle w:val="18"/>
          <w:rFonts w:ascii="仿宋" w:hAnsi="仿宋" w:eastAsia="仿宋"/>
          <w:b w:val="0"/>
          <w:spacing w:val="-4"/>
          <w:sz w:val="32"/>
          <w:szCs w:val="32"/>
        </w:rPr>
      </w:pPr>
    </w:p>
    <w:p w14:paraId="3E87ACCD">
      <w:pPr>
        <w:spacing w:line="540" w:lineRule="exact"/>
        <w:ind w:firstLine="567"/>
        <w:rPr>
          <w:rStyle w:val="18"/>
          <w:rFonts w:ascii="仿宋" w:hAnsi="仿宋" w:eastAsia="仿宋"/>
          <w:b w:val="0"/>
          <w:spacing w:val="-4"/>
          <w:sz w:val="32"/>
          <w:szCs w:val="32"/>
        </w:rPr>
      </w:pPr>
    </w:p>
    <w:p w14:paraId="114CDCBA">
      <w:pPr>
        <w:spacing w:line="540" w:lineRule="exact"/>
        <w:ind w:firstLine="567"/>
        <w:rPr>
          <w:rStyle w:val="18"/>
          <w:rFonts w:ascii="仿宋" w:hAnsi="仿宋" w:eastAsia="仿宋"/>
          <w:b w:val="0"/>
          <w:spacing w:val="-4"/>
          <w:sz w:val="32"/>
          <w:szCs w:val="32"/>
        </w:rPr>
      </w:pPr>
    </w:p>
    <w:p w14:paraId="7AC8838D">
      <w:pPr>
        <w:spacing w:line="540" w:lineRule="exact"/>
        <w:ind w:firstLine="567"/>
        <w:rPr>
          <w:rStyle w:val="18"/>
          <w:rFonts w:ascii="仿宋" w:hAnsi="仿宋" w:eastAsia="仿宋"/>
          <w:b w:val="0"/>
          <w:spacing w:val="-4"/>
          <w:sz w:val="32"/>
          <w:szCs w:val="32"/>
        </w:rPr>
      </w:pPr>
    </w:p>
    <w:p w14:paraId="7CE83576">
      <w:pPr>
        <w:spacing w:line="540" w:lineRule="exact"/>
        <w:ind w:firstLine="567"/>
        <w:rPr>
          <w:rStyle w:val="18"/>
          <w:rFonts w:ascii="仿宋" w:hAnsi="仿宋" w:eastAsia="仿宋"/>
          <w:b w:val="0"/>
          <w:spacing w:val="-4"/>
          <w:sz w:val="32"/>
          <w:szCs w:val="32"/>
        </w:rPr>
      </w:pPr>
    </w:p>
    <w:p w14:paraId="1F78D46E">
      <w:pPr>
        <w:spacing w:line="540" w:lineRule="exact"/>
        <w:ind w:firstLine="567"/>
        <w:rPr>
          <w:rStyle w:val="18"/>
          <w:rFonts w:ascii="仿宋" w:hAnsi="仿宋" w:eastAsia="仿宋"/>
          <w:b w:val="0"/>
          <w:spacing w:val="-4"/>
          <w:sz w:val="32"/>
          <w:szCs w:val="32"/>
        </w:rPr>
      </w:pPr>
    </w:p>
    <w:p w14:paraId="26264561">
      <w:pPr>
        <w:spacing w:line="540" w:lineRule="exact"/>
        <w:ind w:firstLine="567"/>
        <w:rPr>
          <w:rStyle w:val="18"/>
          <w:rFonts w:ascii="仿宋" w:hAnsi="仿宋" w:eastAsia="仿宋"/>
          <w:b w:val="0"/>
          <w:spacing w:val="-4"/>
          <w:sz w:val="32"/>
          <w:szCs w:val="32"/>
        </w:rPr>
      </w:pPr>
    </w:p>
    <w:p w14:paraId="1160A225">
      <w:pPr>
        <w:spacing w:line="540" w:lineRule="exact"/>
        <w:ind w:firstLine="567"/>
        <w:rPr>
          <w:rStyle w:val="18"/>
          <w:rFonts w:ascii="仿宋" w:hAnsi="仿宋" w:eastAsia="仿宋"/>
          <w:b w:val="0"/>
          <w:spacing w:val="-4"/>
          <w:sz w:val="32"/>
          <w:szCs w:val="32"/>
        </w:rPr>
      </w:pPr>
    </w:p>
    <w:p w14:paraId="5D9B54B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E9FC13A">
        <w:pPr>
          <w:pStyle w:val="12"/>
          <w:jc w:val="center"/>
        </w:pPr>
        <w:r>
          <w:fldChar w:fldCharType="begin"/>
        </w:r>
        <w:r>
          <w:instrText xml:space="preserve">PAGE   \* MERGEFORMAT</w:instrText>
        </w:r>
        <w:r>
          <w:fldChar w:fldCharType="separate"/>
        </w:r>
        <w:r>
          <w:rPr>
            <w:lang w:val="zh-CN"/>
          </w:rPr>
          <w:t>1</w:t>
        </w:r>
        <w:r>
          <w:fldChar w:fldCharType="end"/>
        </w:r>
      </w:p>
    </w:sdtContent>
  </w:sdt>
  <w:p w14:paraId="317ED568">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5E762D8"/>
    <w:rsid w:val="0CB44F22"/>
    <w:rsid w:val="4C3D1751"/>
    <w:rsid w:val="4D2606A1"/>
    <w:rsid w:val="66770FA9"/>
    <w:rsid w:val="DF775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113</Words>
  <Characters>648</Characters>
  <Lines>5</Lines>
  <Paragraphs>1</Paragraphs>
  <TotalTime>0</TotalTime>
  <ScaleCrop>false</ScaleCrop>
  <LinksUpToDate>false</LinksUpToDate>
  <CharactersWithSpaces>760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user</cp:lastModifiedBy>
  <cp:lastPrinted>2019-01-01T02:56:00Z</cp:lastPrinted>
  <dcterms:modified xsi:type="dcterms:W3CDTF">2026-09-07T16:55:08Z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160D1BA1944349B08C48068401F6E698</vt:lpwstr>
  </property>
</Properties>
</file>