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自治区财政项目支出绩效自评报告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7"/>
          <w:rFonts w:hint="eastAsia" w:ascii="楷体" w:hAnsi="楷体" w:eastAsia="楷体"/>
          <w:spacing w:val="-4"/>
          <w:sz w:val="32"/>
          <w:szCs w:val="32"/>
        </w:rPr>
        <w:t>2025</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ascii="方正小标宋_GBK" w:hAnsi="宋体" w:eastAsia="方正小标宋_GBK" w:cs="宋体"/>
          <w:kern w:val="0"/>
          <w:sz w:val="36"/>
          <w:szCs w:val="36"/>
        </w:rPr>
      </w:pPr>
      <w:bookmarkStart w:id="0" w:name="_GoBack"/>
      <w:bookmarkEnd w:id="0"/>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7"/>
          <w:rFonts w:hint="eastAsia" w:ascii="楷体" w:hAnsi="楷体" w:eastAsia="楷体"/>
          <w:spacing w:val="-4"/>
          <w:sz w:val="32"/>
          <w:szCs w:val="32"/>
        </w:rPr>
        <w:t>公路日常养护</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7"/>
          <w:rFonts w:hint="eastAsia" w:ascii="楷体" w:hAnsi="楷体" w:eastAsia="楷体"/>
          <w:spacing w:val="-4"/>
          <w:sz w:val="28"/>
          <w:szCs w:val="28"/>
        </w:rPr>
        <w:t>阿图什公路管理局</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7"/>
          <w:rFonts w:hint="eastAsia" w:ascii="楷体" w:hAnsi="楷体" w:eastAsia="楷体"/>
          <w:spacing w:val="-4"/>
          <w:sz w:val="28"/>
          <w:szCs w:val="28"/>
        </w:rPr>
        <w:t>阿图什公路管理局</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7"/>
          <w:rFonts w:hint="eastAsia" w:ascii="楷体" w:hAnsi="楷体" w:eastAsia="楷体"/>
          <w:spacing w:val="-4"/>
          <w:sz w:val="32"/>
          <w:szCs w:val="32"/>
        </w:rPr>
        <w:t>阿布都介力力·阿布都克里木</w:t>
      </w:r>
    </w:p>
    <w:p>
      <w:pPr>
        <w:spacing w:line="540" w:lineRule="exact"/>
        <w:ind w:left="273" w:firstLine="567"/>
        <w:rPr>
          <w:rStyle w:val="17"/>
          <w:rFonts w:ascii="楷体" w:hAnsi="楷体" w:eastAsia="楷体"/>
          <w:spacing w:val="-4"/>
          <w:sz w:val="32"/>
          <w:szCs w:val="32"/>
        </w:rPr>
      </w:pPr>
      <w:r>
        <w:rPr>
          <w:rFonts w:hint="eastAsia" w:hAnsi="宋体" w:eastAsia="仿宋_GB2312" w:cs="宋体"/>
          <w:kern w:val="0"/>
          <w:sz w:val="36"/>
          <w:szCs w:val="36"/>
        </w:rPr>
        <w:t>填报时间：</w:t>
      </w:r>
      <w:r>
        <w:rPr>
          <w:rStyle w:val="17"/>
          <w:rFonts w:hint="eastAsia" w:ascii="楷体" w:hAnsi="楷体" w:eastAsia="楷体"/>
          <w:spacing w:val="-4"/>
          <w:sz w:val="32"/>
          <w:szCs w:val="32"/>
        </w:rPr>
        <w:t>2026年03月17日</w:t>
      </w:r>
    </w:p>
    <w:p>
      <w:pPr>
        <w:spacing w:line="700" w:lineRule="exact"/>
        <w:ind w:firstLine="708" w:firstLineChars="236"/>
        <w:jc w:val="left"/>
        <w:rPr>
          <w:rFonts w:hAnsi="宋体" w:eastAsia="仿宋_GB2312" w:cs="宋体"/>
          <w:kern w:val="0"/>
          <w:sz w:val="30"/>
          <w:szCs w:val="30"/>
        </w:rPr>
      </w:pPr>
    </w:p>
    <w:p>
      <w:pPr>
        <w:spacing w:line="540" w:lineRule="exact"/>
        <w:rPr>
          <w:rStyle w:val="17"/>
          <w:rFonts w:ascii="黑体" w:hAnsi="黑体" w:eastAsia="黑体"/>
          <w:b w:val="0"/>
          <w:spacing w:val="-4"/>
          <w:sz w:val="32"/>
          <w:szCs w:val="32"/>
        </w:rPr>
      </w:pP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一、基本情况</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（一）项目概况。包括项目背景、主要内容及实施情况、资金投入和使用情况等。</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1、项目背景</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为全面贯彻落实交通运输领域关于公路桥隧养护管理、冬季应急保畅的相关政策要求，切实消除公路路面病害处置、桥梁结构安全管护、路域环境整治、冬季积雪积冰清除等关键环节，全力打造“畅、安、舒、美”的道路交通环境，应对冬季低温雨雪冰冻极端天气，坚持“预防为主、防治结合、应急高效、保障有力”的原则，保障公众出行安全，降低道路交通事故发生率，保障辖区内国省干线安全畅通。</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2、主要内容及实施情况</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1、主要内容</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整修路基边坡、路肩，疏通边沟、排水沟等排水设施，对沥青路面开展精细化管护，及时修补路面坑槽、裂缝、沉陷、拥包等病害，清理路面抛洒物、杂物及障碍物，保障路面平整完好；定期对路面进行清扫保洁，提升路容路貌。定期对桥面、伸缩缝、支座、桥墩、桥台、护栏等桥梁关键部位开展常态化巡查，清理桥面杂物、疏通泄水孔，修补桥面铺装破损；维护伸缩缝、支座等构件，开展预防性处置和小修保养，杜绝病害扩大化，保障公路、桥梁安全稳定。冬季除雪提前储备融雪剂、防滑沙等应急物资，组建应急除雪队伍，完善除雪保畅应急预案。及时清除积雪、破除积冰，按需撒布融雪剂和防滑沙，防止道路结冰打滑，保障道路尽快恢复通行。</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2、实施情况</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阿图什公路事业发展中心为全额拨款的事业单位，下辖5个养护所、2个收费站，19个养护道班站，管养里程共计975.141公里，其中：普通国道4条724.85公里(G219、G314、G315、G581)；省道2条102.055公里（S309、S306）；专用公路3条148.236公里（Z660、Z661、Z662）。管养公路桥梁351 座，涵洞1897道；隧道1 座，长度1922 延米。2025 年底，阿图什公路事业发展中心管养路段平均 PQI 为 92.59，达到本年度预期指标。全年累计开展巡道3457次，日常巡查3131次，夜间巡查78次，特殊巡查247次，启动应急预案45次，发现问题1196次，现场处理980处，下达计划216处。已完成机械与人工协同清扫路面超3101.78万平方米，清理路肩边坡杂物达808.879万平方米，人工整修路肩边坡460.03万平方米，疏通清理边沟41.43万公里，清除涵洞淤泥4253立方米；处理修复网状裂缝裂18800平方米、坑槽6517.94平方米、沉陷4236.3平方米，处治波浪拥包260.7平方米，开展开槽灌缝117.35公里；桥涵设施维护中，安装桥面伸缩缝橡胶条 218.5米，完成伸缩缝锚固区混凝土修补 267 平方米，清理桥梁支座24928个、人工清洁桥面 136.45万平方米、疏通泄水孔21928个；完善交安设施，维修轮廓标846根、安装202根、更换护栏1671米，更换立柱400根，完成热熔标线2171.9平方米，更换道口桩851根。通过系统性养护作业，有效提升了辖区公路通行质量与安全水平。冬季降雪期间，严格执行应急预案，启动应急响应机制，统筹调配除雪人员、设备和物资。本年度共应对降雪22次，完成除雪里程5016.422公里，清理积雪94.272万立方米；投入机械192台班、人员542工日、融雪剂579.8吨，未发生因积雪积冰导致的长时间交通阻断和重大安全事故，有力保障了冬季公路安全畅通。</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项目实施过程中，严格执行公路桥梁养护质量标准，安排专人对养护作业、除雪作业进行全程监督检查，严把质量关；落实安全生产责任制，对养护人员、除雪队伍开展岗前安全培训，规范作业流程，配备安全防护装备，全年未发生安全生产责任事故。</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3、资金投入和使用情况等。</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根据资金安排，日常养护资金预算数为1296万元。专项用于公路、桥隧养护，避险车道及风雪保交通工作，其中公路、桥隧养护1227万元，避险车道7万元，风雪保交通62万元。项目资金严格遵循“专款专用、厉行节约、规范支出”的原则，全部用于项目相关开支，无截留、挤占、挪用资金情况。全年实际支出资金1296万元，预算执行率100%。</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公路、桥隧养护支出1227万元，主要用于路面修补材料费、交通设施维修费、养护设备燃油及维修费等。</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冬季除雪支出62万元，主要用于融雪剂、防滑沙等应急物资采购费、除雪设备租赁费及燃油费等。</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避险车道7万元，主要用于管养的G219线K2055+010、K2062+910两处避险车道维护及燃油费等。</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（二）项目绩效目标。包括总体目标和阶段性目标。</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（二）项目绩效目标。</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1、总体目标</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根据《公路养护工程管理办法》、《公路养护技术标准》等要求，以“优化优良路、稳定中等路，提升次差路”为目标，建立规范科学的管理体系与流程，科学制定养护策略和养护目标，对全区国省干线公路开展日常养护和公路轻微损坏的维修，使管养公路经常保持完好状态，按期完成2025年干线公路日常养护各项指标，保障975.141公里普通国省干线公路安全畅通，为社会公众提供公益出行服务。</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2、阶段性目标。</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通过在5月底、8月底两个节点监控项目执行情况，一是5月预算采取的措施：严格执行《公路养护技术规范》，《公路桥梁养护管理工作制度》及《新疆维吾尔自治区公路事业发展中心应急养护管理制度》（新交公养护〔2023〕23号）要求，严格规范建设资金计划分配，按照项目资金管理的要求，设置专门明细科目归集，每月开展预算执行会反映专项资金的支出情况。二是8月预算采取的措施：为切实加强资金管理，规范项目资金管理使用行为，有效发挥项目资金效益，对资金使用过程加强了监管，确保资金能够按照计划有效使用，避免浪费和滥用。</w:t>
      </w: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二、</w:t>
      </w:r>
      <w:r>
        <w:rPr>
          <w:rStyle w:val="17"/>
          <w:rFonts w:hint="eastAsia"/>
          <w:spacing w:val="-4"/>
          <w:sz w:val="32"/>
          <w:szCs w:val="32"/>
        </w:rPr>
        <w:t>绩效评价工作开展情况</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（一）绩效评价目的、对象和范围。</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 xml:space="preserve">    通过开展本次部门绩效评价工作，全面了解该项目预算编制的合理性、资金使用的合规性、项目管理的规范性、项目目标的实现情况、服务对象的满意度等，从中总结经验及教训，促进项目成果转化和应用，为今后类似项目的长效管理，提供可行性参考建议。</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此次我单位根据《项目支出绩效评价管理办法》（财预〔2020〕10号）文件要求对2025年度我单位实施的公路日常养护项目开展部门绩效评价，项目总金额1296万元，其中公路、桥隧养护1227万元，避险车道7万元，风雪保交通62万元。</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本次绩效评价主要围绕项目资金使用情况、财务管理状况和资产配置、使用、处置及其收益管理情况。项目管理相关制度及措施是否被认真执行；绩效目标的实现程度，包括是否达到预定产出和效果等方面进行部门绩效评价。</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（二）绩效评价原则、评价指标体系（附表说明）、评价方法、评价标准等。</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1.绩效评价原则</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依据《预算法》、《中共中央国务院关于全面实施预算绩效管理的意见》（中发〔2018〕34号）、《自治区党委自治区人民政府关于全面实施预算绩效管理的实施意见》（新党发〔2018〕30号）、《自治区财政支出绩效评价管理暂行办法》（新财预〔2018〕189号）等要求，本次绩效评价秉承科学规范、公正公开、分级分类、绩效相关等原则，按照从投入、过程到产出效果和影响的绩效逻辑路径，结合公路日常养护项目实际开展情况，运用定量和定性分析相结合的方法，总结经验做法，反思项目实施和管理中的问题，以切实提升财政资金管理的科学化、规范化和精细化水平。</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根据以上原则，绩效评价应遵循如下要求：</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（1）在数据采集时，采取客观数据，主管部门审查、社会中介组织复查，以保证各项指标的真实性。</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（2）保证评价结果的真实性、公正性，提高评价报告的公信力。</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（3）绩效评价报告应当简明扼要，除了对绩效评价的过程、结果描述外，还应总结经验，指出问题，并就共性问题提出可操作性改进建议。</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2.绩效评价指标体系</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我单位根据项目的实施资料研读及前期调研，结合项目的实际开展情况，将项目的指标体系进行了调整和完善，最终形成了项目绩效评价指标体系。</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3.评价方法</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评价方法采用比较法，将项目实施情况与绩效目标进行比较，把项目实际完成指标情况与年度指标值进行对比，形成评价结果。</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单位自评采用定量与定性评价相结合的比较法，将项目实施情况与绩效目标进行比较，把项目实际完成指标情况与年度指标值进行对比，形成评价结果。</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4.评价标准</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评价标准参照计划标准，以预先制定的目标、计划、预算、定额等作为评价标准。</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（三）绩效评价工作过程。</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 xml:space="preserve">   本次评价成立了评价工作组，成员如下：</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1.评价组组长：吾热古力·卡地尔江，职责：组织领导，工作内容：按照相关要求，组织协调绩效评价工作，推进工作整体进度；</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2.评价组成员：常文翔，职责：组织协调、评价评分，工作内容：具体安排落实评价工作，对项目涉及的评价内容，按照评价指标和标准，逐项进行评分;</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3.评价组成员：成娅玲，职责：评价打分，工作内容：按照评价指标和标准，对项目涉及的评价内容逐项进行评分。</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4.评价组成员：西尔艾力·孜克热拉，职责：评价打分，工作内容：按照评价指标和标准，对项目涉及的评价内容逐项进行评分。</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5.评价组成员：崔燕，职责：评价打分，工作内容：按照评价指标和标准，对项目涉及的评价内容逐项进行评分。</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6.评价组成员：谢婷，职责：评价打分，工作内容：按照评价指标和标准，对项目涉及的评价内容逐项进行评分。</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7.评价组成员：王娜娜，职责：评价打分，工作内容：按照评价指标和标准，对项目涉及的评价内容逐项进行评分。</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8.评价组成员：开丽比努尔·吐尔逊，职责：评价打分，工作内容：按照评价指标和标准，对项目涉及的评价内容逐项进行评分。</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此次绩效评价工作成立评价工作组，通过收集查看项目相关文件材料，查阅其他书面材料、实施情况，预算执行情况等，并按照评价指标、评价标准和评价规则对决策、过程、产出、效益和满意度五个方面进行评价，通过汇总平均，得出项目考评的综合评价得分，同时形成综合评价意见。</w:t>
      </w:r>
    </w:p>
    <w:p>
      <w:pPr>
        <w:spacing w:line="540" w:lineRule="exact"/>
        <w:ind w:firstLine="640"/>
        <w:rPr>
          <w:rStyle w:val="17"/>
          <w:rFonts w:hint="eastAsia" w:ascii="黑体" w:hAnsi="黑体" w:eastAsia="黑体"/>
          <w:b w:val="0"/>
          <w:spacing w:val="-4"/>
          <w:sz w:val="32"/>
          <w:szCs w:val="32"/>
        </w:rPr>
      </w:pPr>
      <w:r>
        <w:rPr>
          <w:rStyle w:val="17"/>
          <w:rFonts w:hint="eastAsia" w:ascii="黑体" w:hAnsi="黑体" w:eastAsia="黑体"/>
          <w:b w:val="0"/>
          <w:spacing w:val="-4"/>
          <w:sz w:val="32"/>
          <w:szCs w:val="32"/>
        </w:rPr>
        <w:t>三、</w:t>
      </w:r>
      <w:r>
        <w:rPr>
          <w:rStyle w:val="17"/>
          <w:rFonts w:hint="eastAsia"/>
          <w:spacing w:val="-4"/>
          <w:sz w:val="32"/>
          <w:szCs w:val="32"/>
        </w:rPr>
        <w:t>综合评价情况及评价结论</w:t>
      </w:r>
    </w:p>
    <w:p>
      <w:pPr>
        <w:spacing w:line="540" w:lineRule="exact"/>
        <w:ind w:firstLine="567"/>
        <w:rPr>
          <w:rStyle w:val="17"/>
          <w:rFonts w:hint="eastAsia" w:ascii="楷体" w:hAnsi="楷体" w:eastAsia="楷体"/>
          <w:spacing w:val="-4"/>
          <w:sz w:val="32"/>
          <w:szCs w:val="32"/>
        </w:rPr>
      </w:pPr>
      <w:r>
        <w:rPr>
          <w:rStyle w:val="17"/>
          <w:rFonts w:hint="eastAsia" w:ascii="楷体" w:hAnsi="楷体" w:eastAsia="楷体"/>
          <w:spacing w:val="-4"/>
          <w:sz w:val="32"/>
          <w:szCs w:val="32"/>
        </w:rPr>
        <w:t xml:space="preserve">   此次绩效评价通过组论证的评价指标体系及评分标准，采用的方法为比较法，对公路日常养护项目绩效进行客观评价，最终评分结果：总分为100分，其中：项目决策20分、过程管理20分、项目产出20分、项目效益20分、满意度指标20分。绩效评级为“优”。（优：90-100分，包含90分；良：80-90分，包含80分；中：60-80分，包含60分；差：60分以下）</w:t>
      </w:r>
    </w:p>
    <w:p>
      <w:pPr>
        <w:spacing w:line="540" w:lineRule="exact"/>
        <w:ind w:firstLine="640"/>
        <w:rPr>
          <w:rStyle w:val="17"/>
          <w:rFonts w:ascii="黑体" w:hAnsi="黑体" w:eastAsia="黑体"/>
        </w:rPr>
      </w:pPr>
      <w:r>
        <w:rPr>
          <w:rStyle w:val="17"/>
          <w:rFonts w:hint="eastAsia" w:ascii="黑体" w:hAnsi="黑体" w:eastAsia="黑体"/>
          <w:b w:val="0"/>
          <w:spacing w:val="-4"/>
          <w:sz w:val="32"/>
          <w:szCs w:val="32"/>
        </w:rPr>
        <w:t>四、</w:t>
      </w:r>
      <w:r>
        <w:rPr>
          <w:rStyle w:val="17"/>
          <w:rFonts w:hint="eastAsia"/>
          <w:spacing w:val="-4"/>
          <w:sz w:val="32"/>
          <w:szCs w:val="32"/>
        </w:rPr>
        <w:t>绩效评价指标分析</w:t>
      </w:r>
      <w:r>
        <w:rPr>
          <w:rStyle w:val="17"/>
          <w:rFonts w:hint="eastAsia" w:ascii="黑体" w:hAnsi="黑体" w:eastAsia="黑体"/>
          <w:b w:val="0"/>
          <w:spacing w:val="-4"/>
          <w:sz w:val="32"/>
          <w:szCs w:val="32"/>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（一）项目决策情况。</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 xml:space="preserve">    项目决策由4个二级指标和6个三级指标构成，权重分20分，实际得分20分。具体如下：</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项目立项分值5分，得分5分。其中：立项依据充分性分值2分，得分2分；立项程序规范性分值3分，得分3分。项目按照交通运输部颁发《公路养护技术规范》《交通运输部关于进一步加强公路桥梁养护管理的若干意见》交公路发〔2013〕321号、《公路长大桥隧养护管理和安全运行若干规定》等相关规范及规定设立，非单独决策立项的工程项目，不存在项目立项评估和决策合理性及风险评估、专家论证等环节的考核，故未设置决策预期指标。</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绩效目标分值10分，得分10分。其中：绩效目标合理性分值5分，得分5分；绩效指标明确性分值5分，得分5分。该项目设置了绩效目标，且绩效目标与实际工作内容具有相关性，项目预期产出效益和效果符合正常的业绩水平，与项目目标任务数或计划数相对应。开展公路路基、路面、桥涵、隧道、沿线设施的小修养护管理工作。对管养路段存在的病害进行修复及各项预防性养护，合理实施小修养护延缓公路衰减，增加公路使用寿命,为公众出行提供安全的通行环境。按照部颁《公路养护技术规范》要求，积极开展公路经常性检查、定期检查、特殊检查、专项检查和加强日常巡道，及时发现损坏的公路及附属设施，及时修复和更换被损坏的路产。2025年公路日常养护总金额1296万元，其中公路、桥隧养护1227万元，避险车道7万元，风雪保交通62万元，与预算确定的项目投资额或资金量相匹配，项目绩效目标明确，将项目绩效目标细化分解为具体的绩效指标，通过清晰、可衡量的指标值予以体现。</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资金投入分值5分，得分5分。其中预算编制科学性分值2分，得分2分；资金分配合理性分值3分，得分3分。该项目预算编制合理，经过科学论证，预算内容与项目内容相匹配，预算额度按照标准编制，测算依据充分，预算确定的项目投资额或资金量与工作任务相匹配，预算资金分配依据充分，资金分配额度合理，与实际相适应。测算标准按照《公路养护技术规范》、《交通运输部关于进一步加强公路桥梁养护管理的若干意见》交公路发〔2013〕321号、《公路长大桥隧养护管理和安全运行若干规定》、《公路桥梁养护管理工作制度》（交公路发〔2007〕336号）及《公路养护技术规范》要求，测算公路路基、路面、桥涵、隧道、沿线设施的日常养护费用。其中公路桥隧养护费用：包括公路、桥梁、隧道三部分。普通公路按油路0.9万元/公里、砂砾路按0.55万元/公里计算机械费、材料费的公里成本计算材料机械费，收费公路按高速、一级15000元/公里，二级路9000元/公里，匝道5000元/公里，计算机械费、材料费的公里成本计算材料机械费。按80元/延米计算桥梁日常养护费用，对一类、二类桥的开展预防性养护工作。按300元/延米计算隧道日常养护费用；病害专项处治费：对于沥青路面出现裂缝、麻面、松散、翻浆等集中病害路段，日常养护无法解决，及时采取相应的维修措施，防治路面病害发展和破损面积增大，确保行车安全，为社会公众提供“畅安舒美”通行环境。阿图什公路事业发展中心2025年年初完成第一次技术状况评定后，按照评定结果，科学合理制定全年养护计划，按照全年工作重点和各养护所养护工作实际需求，分配全年养护资金，下达分解计划。</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（二）项目过程情况。</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 xml:space="preserve">    项目过程管理类指标由3个二级指标和5个三级指标构成，权重分20分，实际得分20分。具体如下：</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资金管理分值12分，得分12分。其中资金到位率分值4分，得分4分；预算执行率分值4分，得分4分；资金使用合规性分值4分，得分4分。2025年公路日常养护预算资金1296万元，到位资金1296万元，实际支出资金1296万元，资金到位率100.00%，预算执行率100.00%。该项目资金使用合规，符合国家财经法规和财务管理制度以及有关专项资金管理办法的规定，资金支付均具有完整的审批程序和手续，与预算批复内容相符，不存在截留、挤占、挪用、虚列支出等情况。1296万元全部用于公路、桥隧日常养护、避险车道和风雪保交通。预算费用分解经专题会、党委会研究，下达至各养护所，费用分解合理、有效。</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组织实施分值8分，得分8分。其中管理制度健全性分值4分，得分4分；制度执行有效性分值4分，得分4分。该项目财务和业务管理制度健全，且合法、合规、完整，制度执行遵守相关法律法规和相关管理规定，项目调整及支出调整手续完备，项目合同书、验收报告、技术鉴定等资料齐全并及时归档，项目实施的人员条件、场地设备、信息支撑等落实到位。公路日常养护项目实施按照《公路养护技术规范》《交通运输部关于进一步加强公路桥梁养护管理的若干意见》交公路发﹝2013﹞321号、《公路长大桥隧养护管理和安全运行若干规定》、《公路桥梁养护管理工作制度》（交公路发﹝2007﹞336号）等相关制度实施，实施过程中，阿图什公路事业发展中心围绕改善路面技术状况、完善交通安全设施、美化公路路域环境、优化出行服务等内容，从路况水平、服务设施、路域环境等方面提高要求、提高标准，发挥示范引领作用。</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（三）项目产出情况。</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 xml:space="preserve">    项目产出类指标由3个二级指标和6个三级指标构成，权重分20分，实际得分20分。具体如下：</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①数量指标</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“管养公路日常养护里程数”指标，预期指标值为975.141公里，指标完成值为975.141公里，完成率为100%，分值4分，得分4分。</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②质量指标</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“公路日常养护质量合格率”指标，预期指标值为=100%，指标完成值为=100%，完成率为100%，分值4分，得分4分。</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“符合《公路养护技术规范》要求验收率”指标，预期指标值为=100%，指标完成值为=100%，完成率为100%，分值4分，得分4分。</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“保持路面清洁度”指标，预期指标值&gt;=95%，指标完成值为=95%，完成率为100%，分值4分，得分4分。</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③时效指标</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“年度养护任务按计划开工率”指标，预期指标值为&gt;=95%，指标完成值为=95%，完成率为100%，分值2分，得分2分。</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“年度养护任务按计划完成率”指标，预期指标值为&gt;=95%，指标完成值为=95%，完成率为100%，分值2分，得分2分。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（四）项目效益情况。</w:t>
      </w:r>
    </w:p>
    <w:p>
      <w:pPr>
        <w:spacing w:line="540" w:lineRule="exact"/>
        <w:ind w:firstLine="567"/>
        <w:rPr>
          <w:rStyle w:val="17"/>
          <w:rFonts w:hint="eastAsia" w:ascii="楷体" w:hAnsi="楷体" w:eastAsia="楷体"/>
          <w:spacing w:val="-4"/>
          <w:sz w:val="32"/>
          <w:szCs w:val="32"/>
        </w:rPr>
      </w:pPr>
      <w:r>
        <w:rPr>
          <w:rStyle w:val="17"/>
          <w:rFonts w:hint="eastAsia" w:ascii="楷体" w:hAnsi="楷体" w:eastAsia="楷体"/>
          <w:spacing w:val="-4"/>
          <w:sz w:val="32"/>
          <w:szCs w:val="32"/>
        </w:rPr>
        <w:t xml:space="preserve">     项目效益类指标由1个二级指标和1个三级指标构成，权重分20分，实际得分20分。具体如下：</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管养公路保畅通行率”指标，预期指标值为&gt;=95%，指标完成值为=95%，完成率为100%，分值20分，得分20分。为保障管养国省干线公路畅通，阿图什公路事业发展中心加大日常养护工作力度，强化公路安全隐患的排查力度，消除安全隐患风险点，以路面养护为中心，对管养的国省干线中等及次差公路进行集中病害处治，提高节点路段的路况指标，进一步实现“巩固优良路、提升中等路、减少次差路”的目标，改善路况水平，实现次差路消除；依据裂缝的严重程度，采取针对性处置措施，建立质量管理体系，确保裂缝处置质量达标，道路状况显著改善，提升了行车舒适性和安全性；按照“先通后清，畅通为主”的保通工作要求，积极完善冬季除雪应急预案，提前做好除雪人员、机械、物资、通讯等各项工作，确保辖区道路安全，为公众提供更加安全、畅通、舒适的出行环境。管养道路安全畅通，管养公路保畅通行率100%。</w:t>
      </w:r>
    </w:p>
    <w:p>
      <w:pPr>
        <w:spacing w:line="540" w:lineRule="exact"/>
        <w:ind w:firstLine="567"/>
        <w:rPr>
          <w:rStyle w:val="17"/>
          <w:rFonts w:hint="eastAsia" w:ascii="楷体" w:hAnsi="楷体" w:eastAsia="楷体"/>
          <w:spacing w:val="-4"/>
          <w:sz w:val="32"/>
          <w:szCs w:val="32"/>
        </w:rPr>
      </w:pPr>
      <w:r>
        <w:rPr>
          <w:rStyle w:val="17"/>
          <w:rFonts w:hint="eastAsia" w:ascii="楷体" w:hAnsi="楷体" w:eastAsia="楷体"/>
          <w:spacing w:val="-4"/>
          <w:sz w:val="32"/>
          <w:szCs w:val="32"/>
        </w:rPr>
        <w:t xml:space="preserve">    项目满意度指标由1个二级指标和1个三级指标构成，权重分20分，实际得分20分。具体如下：</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司乘人员满意度”指标，预期指标值为&gt;=85%，指标完成值为=85%，完成率为100%，分值20分，得分20分。为保障国省干线畅通，阿图什公路事业发展中心加大日常养护工作力度，施工严格按照技术规范操作，道路状况显著改善，提升了行车舒适性和安全性。良好的道路通行条件获得了司乘人员和周边群众的一致好评，进一步提升了公路管理部门的服务形象，未出现一起因公路养护造成的安全事故，未收到关于公路养护引发的投诉。司乘人员满意度100%</w:t>
      </w:r>
    </w:p>
    <w:p>
      <w:pPr>
        <w:spacing w:line="540" w:lineRule="exact"/>
        <w:ind w:firstLine="640"/>
        <w:rPr>
          <w:rStyle w:val="17"/>
          <w:rFonts w:ascii="黑体" w:hAnsi="黑体" w:eastAsia="黑体"/>
          <w:spacing w:val="-4"/>
          <w:sz w:val="32"/>
          <w:szCs w:val="32"/>
        </w:rPr>
      </w:pPr>
      <w:r>
        <w:rPr>
          <w:rStyle w:val="17"/>
          <w:rFonts w:hint="eastAsia" w:ascii="黑体" w:hAnsi="黑体" w:eastAsia="黑体"/>
          <w:b w:val="0"/>
          <w:spacing w:val="-4"/>
          <w:sz w:val="32"/>
          <w:szCs w:val="32"/>
          <w:lang w:eastAsia="zh-CN"/>
        </w:rPr>
        <w:t>五</w:t>
      </w:r>
      <w:r>
        <w:rPr>
          <w:rStyle w:val="17"/>
          <w:rFonts w:hint="eastAsia" w:ascii="黑体" w:hAnsi="黑体" w:eastAsia="黑体"/>
          <w:b w:val="0"/>
          <w:spacing w:val="-4"/>
          <w:sz w:val="32"/>
          <w:szCs w:val="32"/>
        </w:rPr>
        <w:t>、</w:t>
      </w:r>
      <w:r>
        <w:rPr>
          <w:rStyle w:val="17"/>
          <w:rFonts w:ascii="黑体" w:hAnsi="黑体" w:eastAsia="黑体"/>
          <w:b w:val="0"/>
          <w:spacing w:val="-4"/>
          <w:sz w:val="32"/>
          <w:szCs w:val="32"/>
        </w:rPr>
        <w:t>主要经验及做法、存在的问题及原因分析</w:t>
      </w:r>
    </w:p>
    <w:p>
      <w:pPr>
        <w:spacing w:line="540" w:lineRule="exact"/>
        <w:ind w:firstLine="627" w:firstLineChars="200"/>
        <w:rPr>
          <w:rStyle w:val="17"/>
          <w:rFonts w:ascii="楷体" w:hAnsi="楷体" w:eastAsia="楷体"/>
          <w:spacing w:val="-4"/>
          <w:sz w:val="32"/>
          <w:szCs w:val="32"/>
        </w:rPr>
      </w:pPr>
      <w:r>
        <w:rPr>
          <w:rStyle w:val="17"/>
          <w:rFonts w:hint="eastAsia" w:ascii="楷体" w:hAnsi="楷体" w:eastAsia="楷体"/>
          <w:spacing w:val="-4"/>
          <w:sz w:val="32"/>
          <w:szCs w:val="32"/>
        </w:rPr>
        <w:t>（一）主要经验及做法</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1.阿图什公路事业发展中心开展国省干线公路 “畅安舒美智慧 + 旅游” 示范路创建工作，形成可推广的养护示范路标准化模式，投入资金保障路况显著提升、持续美化路域环境、提升出行服务能力、深度推动交旅融合持续发展、保障公路畅安行五个方面入手，以点带面全面提升辖区内国省干线公路养护精细化水平，打造出 “路况好、路域美、服务优、通行畅、安全稳、治理强” 且让群众出行 “更加安全、更加顺畅、更加舒心、更加满意” 的引领标杆示范路，在提升服务品质、延伸服务链条、扩大服务覆盖范围的同时，为当地旅游业发展续航助力，带动当地美食、酒店、农副产品外销，推动当地经济发展并助力乡村振兴。</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2.对辖区所有桥梁和隧道开展全面病害调查，详细记录病害类型、程度及位置，建立完善的病害台账。依据调查结果制定科学维修计划与预算，优先处置桥梁裂缝、隧道渗漏等影响安全的结构性问题。全年完成三次桥隧全面安全隐患排查，精准掌握隐患情况并制定针对性处治措施；通过多种渠道宣传桥隧安全运行知识，增强公众安全意识；联合自治区交通运输综合行政执法局克州执法支队开展三个季度桥隧安全联合巡查，配合定检单位完成2025年度桥隧定检，拟定2026年桥隧定期检查计划。同时，对照《国家公路网重点桥梁和隧道监测评价规程》及“迎国评”工作要求，组织专业技术力量梳理完善国评备检路段桥隧基础数据和内业资料，确保备检工作保质保量完成。</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3.加强与交警、自治区交通运输综合行政执法局克州执法支队、气象部门联动，提前部署防范措施。优化除雪作业流程，合理调配除雪机械和人员，确保积雪及时清理。科学使用融雪剂，避免过量使用对环境造成影响。加强冬季公路巡查频次，及时发现并处置路面结冰、积雪堆积等安全隐患，全力保障冬季公路安全畅通，为群众出行提供可靠保障。</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4.为进一步推动机械设备管理工作，提升设备使用效率，不断提高设备管理水平，阿图什公路事业发展中心组织开展了“红旗机车”评比活动，对所属各单位机械设备保养使用管理进行检查评选，打造了比学赶超、创先争优的良好活动氛围。</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5.为全面规范机械车辆运营管理，降低运行成本，保障设备安全稳定运行，提升使用效率与使用寿命，建立定额管理制度，结合车型、工况、行驶里程制定油料消耗标准，实行单车核算、月度对比、超耗预警，杜绝无节制用油。建立车辆技术档案，一车一档，完整记录保养时间、项目、配件、里程、费用，实现全生命周期可追溯管理。</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（二）存在的问题及原因分析</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1.从事桥梁养护管理工作的工程师人员有限，力量薄弱，专业知识储备有限，专业资质不高。</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2.本年度的小修养护工作已经按照自治区下达计划按期完成。目前的小修养护资金仅能维持部分基本的路面坑槽修补及翻浆等影响行车安全的病害处置，已经不能满足公众日益增长的个性化的出行需求，由于资金短缺难以与交通运输部提倡预防性养护的养护理念保持同步，与我区实行的“精细化养护”管理的实际养护需求存在一定的缺口。在建设环境与生态保护型社会的大背景下，我区对公路防尘保洁工作也提出更高的要求，提倡绿色养护也促使我们选择更环保的养护新材料、新工艺，公路小修保养成本也大大增加。</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3.预防性养护滞后，陷入“坏了再修”的被动局面，养护工作多集中在“挖补坑槽”“大修中修”等事后处治上。路面出现细微裂缝、轻微车辙等病害时缺乏及时干预，导致小病拖成大病，最终不得不进行结构性大修。</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4.设备操作人员综合水平有待进一步提高。部分机驾人员责任心不强，思想认识上发生了偏差，工作上讲待遇、讲条件，讲自身利益，失去了长期以来所保持的那种立足本职、无私奉献的精神，有的机驾人员责任心不强，只管开车，不管保养，不管保洁，没有履行好职责，没有坚持车辆定期检查和保养制度，使机械设备存在安全隐患。</w:t>
      </w:r>
    </w:p>
    <w:p>
      <w:pPr>
        <w:ind w:firstLine="624" w:firstLineChars="200"/>
        <w:rPr>
          <w:rStyle w:val="17"/>
          <w:rFonts w:ascii="黑体" w:hAnsi="黑体" w:eastAsia="黑体"/>
          <w:b w:val="0"/>
          <w:spacing w:val="-4"/>
          <w:sz w:val="32"/>
          <w:szCs w:val="32"/>
        </w:rPr>
      </w:pPr>
      <w:r>
        <w:rPr>
          <w:rStyle w:val="17"/>
          <w:rFonts w:hint="eastAsia" w:ascii="黑体" w:hAnsi="黑体" w:eastAsia="黑体"/>
          <w:b w:val="0"/>
          <w:spacing w:val="-4"/>
          <w:sz w:val="32"/>
          <w:szCs w:val="32"/>
          <w:lang w:eastAsia="zh-CN"/>
        </w:rPr>
        <w:t>六</w:t>
      </w:r>
      <w:r>
        <w:rPr>
          <w:rStyle w:val="17"/>
          <w:rFonts w:ascii="黑体" w:hAnsi="黑体" w:eastAsia="黑体"/>
          <w:b w:val="0"/>
          <w:spacing w:val="-4"/>
          <w:sz w:val="32"/>
          <w:szCs w:val="32"/>
        </w:rPr>
        <w:t>、有关建议</w:t>
      </w:r>
    </w:p>
    <w:p>
      <w:pPr>
        <w:spacing w:line="540" w:lineRule="exact"/>
        <w:ind w:firstLine="627" w:firstLineChars="200"/>
        <w:rPr>
          <w:rStyle w:val="17"/>
          <w:rFonts w:ascii="楷体" w:hAnsi="楷体" w:eastAsia="楷体"/>
          <w:spacing w:val="-4"/>
          <w:sz w:val="32"/>
          <w:szCs w:val="32"/>
        </w:rPr>
      </w:pPr>
      <w:r>
        <w:rPr>
          <w:rStyle w:val="17"/>
          <w:rFonts w:hint="eastAsia" w:ascii="楷体" w:hAnsi="楷体" w:eastAsia="楷体"/>
          <w:spacing w:val="-4"/>
          <w:sz w:val="32"/>
          <w:szCs w:val="32"/>
        </w:rPr>
        <w:t xml:space="preserve">    1.推动智慧养护，积极应用大数据、人工智能等新技术。实现路况实时监测、病害智能识别、养护决策辅助支持。探索应用无人机巡查、车载智能巡检系统、自动化检测设备等，提升路况数据采集的精准度与频次。</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2.培养专业人才，制定养护人才发展规划，通过定向培养、在职培训、技能竞赛等多种方式，培养一批懂技术、会管理、善操作的养护专业技术人才和高技能操作人才。</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3.南疆地区受极端自然条件影响，公路养护面临养护高成本的困扰。恶劣环境下，高温冻融交替、盐渍土溶蚀等病害频发且呈周期性复发，路基路面损毁速度快，需频繁进行挖补、清沙、翻浆处置等作业，增加了重复投入。同时，人工与机械成本持续上涨,老旧养护设备维修成本高、效率低，新型专业机械采购依赖高额资金，进一步推高了养护支出。此外，偏远路段物资运输距离长、物流成本高，也加剧了养护成本压力，有限的资金难以覆盖快速增长的养护需求。</w:t>
      </w:r>
    </w:p>
    <w:p>
      <w:pPr>
        <w:spacing w:line="540" w:lineRule="exact"/>
        <w:ind w:firstLine="567"/>
        <w:rPr>
          <w:rStyle w:val="17"/>
          <w:rFonts w:ascii="黑体" w:hAnsi="黑体" w:eastAsia="黑体"/>
          <w:b w:val="0"/>
          <w:spacing w:val="-4"/>
          <w:sz w:val="32"/>
          <w:szCs w:val="32"/>
        </w:rPr>
      </w:pPr>
      <w:r>
        <w:rPr>
          <w:rStyle w:val="17"/>
          <w:rFonts w:hint="eastAsia" w:ascii="黑体" w:hAnsi="黑体" w:eastAsia="黑体"/>
          <w:b w:val="0"/>
          <w:spacing w:val="-4"/>
          <w:sz w:val="32"/>
          <w:szCs w:val="32"/>
          <w:lang w:eastAsia="zh-CN"/>
        </w:rPr>
        <w:t>七</w:t>
      </w:r>
      <w:r>
        <w:rPr>
          <w:rStyle w:val="17"/>
          <w:rFonts w:hint="eastAsia" w:ascii="黑体" w:hAnsi="黑体" w:eastAsia="黑体"/>
          <w:b w:val="0"/>
          <w:spacing w:val="-4"/>
          <w:sz w:val="32"/>
          <w:szCs w:val="32"/>
        </w:rPr>
        <w:t>、其他需要说明的问题</w:t>
      </w:r>
    </w:p>
    <w:p>
      <w:pPr>
        <w:spacing w:line="540" w:lineRule="exact"/>
        <w:ind w:firstLine="627" w:firstLineChars="200"/>
        <w:rPr>
          <w:rStyle w:val="17"/>
          <w:rFonts w:ascii="楷体" w:hAnsi="楷体" w:eastAsia="楷体"/>
          <w:spacing w:val="-4"/>
          <w:sz w:val="32"/>
          <w:szCs w:val="32"/>
        </w:rPr>
      </w:pPr>
      <w:r>
        <w:rPr>
          <w:rStyle w:val="17"/>
          <w:rFonts w:hint="eastAsia" w:ascii="楷体" w:hAnsi="楷体" w:eastAsia="楷体"/>
          <w:spacing w:val="-4"/>
          <w:sz w:val="32"/>
          <w:szCs w:val="32"/>
        </w:rPr>
        <w:t>无其他说明内容。</w:t>
      </w: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C51DF"/>
    <w:rsid w:val="005D10D6"/>
    <w:rsid w:val="005E7C5E"/>
    <w:rsid w:val="0075584F"/>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F42A0"/>
    <w:rsid w:val="00E30E91"/>
    <w:rsid w:val="00E769FE"/>
    <w:rsid w:val="00E774CE"/>
    <w:rsid w:val="00E96D03"/>
    <w:rsid w:val="00EA2CBE"/>
    <w:rsid w:val="00EB10A0"/>
    <w:rsid w:val="00F32FEE"/>
    <w:rsid w:val="00FB10BB"/>
    <w:rsid w:val="0CB44F22"/>
    <w:rsid w:val="1D6E3CF1"/>
    <w:rsid w:val="4C3D1751"/>
    <w:rsid w:val="4D2606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6">
    <w:name w:val="Default Paragraph Font"/>
    <w:unhideWhenUsed/>
    <w:qFormat/>
    <w:uiPriority w:val="1"/>
  </w:style>
  <w:style w:type="table" w:default="1" w:styleId="19">
    <w:name w:val="Normal Table"/>
    <w:unhideWhenUsed/>
    <w:qFormat/>
    <w:uiPriority w:val="99"/>
    <w:tblPr>
      <w:tblLayout w:type="fixed"/>
      <w:tblCellMar>
        <w:top w:w="0" w:type="dxa"/>
        <w:left w:w="108" w:type="dxa"/>
        <w:bottom w:w="0" w:type="dxa"/>
        <w:right w:w="108" w:type="dxa"/>
      </w:tblCellMar>
    </w:tblPr>
  </w:style>
  <w:style w:type="paragraph" w:styleId="11">
    <w:name w:val="Balloon Text"/>
    <w:basedOn w:val="1"/>
    <w:link w:val="45"/>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7">
    <w:name w:val="Strong"/>
    <w:basedOn w:val="16"/>
    <w:qFormat/>
    <w:uiPriority w:val="0"/>
    <w:rPr>
      <w:b/>
      <w:bCs/>
    </w:rPr>
  </w:style>
  <w:style w:type="character" w:styleId="18">
    <w:name w:val="Emphasis"/>
    <w:basedOn w:val="16"/>
    <w:qFormat/>
    <w:uiPriority w:val="20"/>
    <w:rPr>
      <w:rFonts w:asciiTheme="minorHAnsi" w:hAnsiTheme="minorHAnsi"/>
      <w:b/>
      <w:i/>
      <w:iCs/>
    </w:rPr>
  </w:style>
  <w:style w:type="character" w:customStyle="1" w:styleId="20">
    <w:name w:val="标题 1 字符"/>
    <w:basedOn w:val="16"/>
    <w:link w:val="2"/>
    <w:qFormat/>
    <w:uiPriority w:val="9"/>
    <w:rPr>
      <w:rFonts w:asciiTheme="majorHAnsi" w:hAnsiTheme="majorHAnsi" w:eastAsiaTheme="majorEastAsia"/>
      <w:b/>
      <w:bCs/>
      <w:kern w:val="32"/>
      <w:sz w:val="32"/>
      <w:szCs w:val="32"/>
    </w:rPr>
  </w:style>
  <w:style w:type="character" w:customStyle="1" w:styleId="21">
    <w:name w:val="标题 2 字符"/>
    <w:basedOn w:val="16"/>
    <w:link w:val="3"/>
    <w:semiHidden/>
    <w:qFormat/>
    <w:uiPriority w:val="9"/>
    <w:rPr>
      <w:rFonts w:asciiTheme="majorHAnsi" w:hAnsiTheme="majorHAnsi" w:eastAsiaTheme="majorEastAsia"/>
      <w:b/>
      <w:bCs/>
      <w:i/>
      <w:iCs/>
      <w:sz w:val="28"/>
      <w:szCs w:val="28"/>
    </w:rPr>
  </w:style>
  <w:style w:type="character" w:customStyle="1" w:styleId="22">
    <w:name w:val="标题 3 字符"/>
    <w:basedOn w:val="16"/>
    <w:link w:val="4"/>
    <w:semiHidden/>
    <w:qFormat/>
    <w:uiPriority w:val="9"/>
    <w:rPr>
      <w:rFonts w:asciiTheme="majorHAnsi" w:hAnsiTheme="majorHAnsi" w:eastAsiaTheme="majorEastAsia"/>
      <w:b/>
      <w:bCs/>
      <w:sz w:val="26"/>
      <w:szCs w:val="26"/>
    </w:rPr>
  </w:style>
  <w:style w:type="character" w:customStyle="1" w:styleId="23">
    <w:name w:val="标题 4 字符"/>
    <w:basedOn w:val="16"/>
    <w:link w:val="5"/>
    <w:qFormat/>
    <w:uiPriority w:val="9"/>
    <w:rPr>
      <w:b/>
      <w:bCs/>
      <w:sz w:val="28"/>
      <w:szCs w:val="28"/>
    </w:rPr>
  </w:style>
  <w:style w:type="character" w:customStyle="1" w:styleId="24">
    <w:name w:val="标题 5 字符"/>
    <w:basedOn w:val="16"/>
    <w:link w:val="6"/>
    <w:semiHidden/>
    <w:qFormat/>
    <w:uiPriority w:val="9"/>
    <w:rPr>
      <w:b/>
      <w:bCs/>
      <w:i/>
      <w:iCs/>
      <w:sz w:val="26"/>
      <w:szCs w:val="26"/>
    </w:rPr>
  </w:style>
  <w:style w:type="character" w:customStyle="1" w:styleId="25">
    <w:name w:val="标题 6 字符"/>
    <w:basedOn w:val="16"/>
    <w:link w:val="7"/>
    <w:semiHidden/>
    <w:qFormat/>
    <w:uiPriority w:val="9"/>
    <w:rPr>
      <w:b/>
      <w:bCs/>
    </w:rPr>
  </w:style>
  <w:style w:type="character" w:customStyle="1" w:styleId="26">
    <w:name w:val="标题 7 字符"/>
    <w:basedOn w:val="16"/>
    <w:link w:val="8"/>
    <w:semiHidden/>
    <w:qFormat/>
    <w:uiPriority w:val="9"/>
    <w:rPr>
      <w:sz w:val="24"/>
      <w:szCs w:val="24"/>
    </w:rPr>
  </w:style>
  <w:style w:type="character" w:customStyle="1" w:styleId="27">
    <w:name w:val="标题 8 字符"/>
    <w:basedOn w:val="16"/>
    <w:link w:val="9"/>
    <w:semiHidden/>
    <w:qFormat/>
    <w:uiPriority w:val="9"/>
    <w:rPr>
      <w:i/>
      <w:iCs/>
      <w:sz w:val="24"/>
      <w:szCs w:val="24"/>
    </w:rPr>
  </w:style>
  <w:style w:type="character" w:customStyle="1" w:styleId="28">
    <w:name w:val="标题 9 字符"/>
    <w:basedOn w:val="16"/>
    <w:link w:val="10"/>
    <w:semiHidden/>
    <w:qFormat/>
    <w:uiPriority w:val="9"/>
    <w:rPr>
      <w:rFonts w:asciiTheme="majorHAnsi" w:hAnsiTheme="majorHAnsi" w:eastAsiaTheme="majorEastAsia"/>
    </w:rPr>
  </w:style>
  <w:style w:type="character" w:customStyle="1" w:styleId="29">
    <w:name w:val="标题 字符"/>
    <w:basedOn w:val="16"/>
    <w:link w:val="15"/>
    <w:qFormat/>
    <w:uiPriority w:val="10"/>
    <w:rPr>
      <w:rFonts w:asciiTheme="majorHAnsi" w:hAnsiTheme="majorHAnsi" w:eastAsiaTheme="majorEastAsia"/>
      <w:b/>
      <w:bCs/>
      <w:kern w:val="28"/>
      <w:sz w:val="32"/>
      <w:szCs w:val="32"/>
    </w:rPr>
  </w:style>
  <w:style w:type="character" w:customStyle="1" w:styleId="30">
    <w:name w:val="副标题 字符"/>
    <w:basedOn w:val="16"/>
    <w:link w:val="14"/>
    <w:qFormat/>
    <w:uiPriority w:val="11"/>
    <w:rPr>
      <w:rFonts w:asciiTheme="majorHAnsi" w:hAnsiTheme="majorHAnsi" w:eastAsiaTheme="majorEastAsia"/>
      <w:sz w:val="24"/>
      <w:szCs w:val="24"/>
    </w:rPr>
  </w:style>
  <w:style w:type="paragraph" w:customStyle="1"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customStyle="1"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customStyle="1"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6"/>
    <w:link w:val="33"/>
    <w:qFormat/>
    <w:uiPriority w:val="29"/>
    <w:rPr>
      <w:i/>
      <w:sz w:val="24"/>
      <w:szCs w:val="24"/>
    </w:rPr>
  </w:style>
  <w:style w:type="paragraph" w:customStyle="1"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6"/>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6"/>
    <w:qFormat/>
    <w:uiPriority w:val="21"/>
    <w:rPr>
      <w:b/>
      <w:i/>
      <w:sz w:val="24"/>
      <w:szCs w:val="24"/>
      <w:u w:val="single"/>
    </w:rPr>
  </w:style>
  <w:style w:type="character" w:customStyle="1" w:styleId="39">
    <w:name w:val="不明显参考1"/>
    <w:basedOn w:val="16"/>
    <w:qFormat/>
    <w:uiPriority w:val="31"/>
    <w:rPr>
      <w:sz w:val="24"/>
      <w:szCs w:val="24"/>
      <w:u w:val="single"/>
    </w:rPr>
  </w:style>
  <w:style w:type="character" w:customStyle="1" w:styleId="40">
    <w:name w:val="明显参考1"/>
    <w:basedOn w:val="16"/>
    <w:qFormat/>
    <w:uiPriority w:val="32"/>
    <w:rPr>
      <w:b/>
      <w:sz w:val="24"/>
      <w:u w:val="single"/>
    </w:rPr>
  </w:style>
  <w:style w:type="character" w:customStyle="1" w:styleId="41">
    <w:name w:val="书籍标题1"/>
    <w:basedOn w:val="16"/>
    <w:qFormat/>
    <w:uiPriority w:val="33"/>
    <w:rPr>
      <w:rFonts w:asciiTheme="majorHAnsi" w:hAnsiTheme="majorHAnsi" w:eastAsiaTheme="majorEastAsia"/>
      <w:b/>
      <w:i/>
      <w:sz w:val="24"/>
      <w:szCs w:val="24"/>
    </w:rPr>
  </w:style>
  <w:style w:type="paragraph" w:customStyle="1" w:styleId="42">
    <w:name w:val="TOC 标题1"/>
    <w:basedOn w:val="2"/>
    <w:next w:val="1"/>
    <w:unhideWhenUsed/>
    <w:qFormat/>
    <w:uiPriority w:val="39"/>
    <w:pPr>
      <w:outlineLvl w:val="9"/>
    </w:pPr>
    <w:rPr>
      <w:lang w:eastAsia="en-US" w:bidi="en-US"/>
    </w:rPr>
  </w:style>
  <w:style w:type="character" w:customStyle="1" w:styleId="43">
    <w:name w:val="页眉 字符"/>
    <w:basedOn w:val="16"/>
    <w:link w:val="13"/>
    <w:qFormat/>
    <w:uiPriority w:val="99"/>
    <w:rPr>
      <w:rFonts w:ascii="Calibri" w:hAnsi="Calibri" w:eastAsia="宋体"/>
      <w:kern w:val="2"/>
      <w:sz w:val="18"/>
      <w:szCs w:val="18"/>
    </w:rPr>
  </w:style>
  <w:style w:type="character" w:customStyle="1" w:styleId="44">
    <w:name w:val="页脚 字符"/>
    <w:basedOn w:val="16"/>
    <w:link w:val="12"/>
    <w:qFormat/>
    <w:uiPriority w:val="99"/>
    <w:rPr>
      <w:rFonts w:ascii="Calibri" w:hAnsi="Calibri" w:eastAsia="宋体"/>
      <w:kern w:val="2"/>
      <w:sz w:val="18"/>
      <w:szCs w:val="18"/>
    </w:rPr>
  </w:style>
  <w:style w:type="character" w:customStyle="1" w:styleId="45">
    <w:name w:val="批注框文本 字符"/>
    <w:basedOn w:val="16"/>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113</Words>
  <Characters>648</Characters>
  <Lines>5</Lines>
  <Paragraphs>1</Paragraphs>
  <ScaleCrop>false</ScaleCrop>
  <LinksUpToDate>false</LinksUpToDate>
  <CharactersWithSpaces>760</CharactersWithSpaces>
  <Application>WPS Office_10.8.0.6370_F1E327BC-269C-435d-A152-05C5408002CA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Administrator</cp:lastModifiedBy>
  <cp:lastPrinted>2018-12-31T10:56:00Z</cp:lastPrinted>
  <dcterms:modified xsi:type="dcterms:W3CDTF">2026-09-02T10:15:32Z</dcterms:modified>
  <cp:revision>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2052-10.8.0.6370</vt:lpwstr>
  </property>
  <property fmtid="{D5CDD505-2E9C-101B-9397-08002B2CF9AE}" pid="3" name="ICV">
    <vt:lpwstr>160D1BA1944349B08C48068401F6E698</vt:lpwstr>
  </property>
</Properties>
</file>