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76F9A">
      <w:pPr>
        <w:spacing w:line="540" w:lineRule="exact"/>
        <w:jc w:val="left"/>
        <w:rPr>
          <w:rFonts w:ascii="仿宋" w:hAnsi="仿宋" w:eastAsia="仿宋" w:cs="宋体"/>
          <w:kern w:val="0"/>
          <w:sz w:val="32"/>
          <w:szCs w:val="32"/>
        </w:rPr>
      </w:pPr>
      <w:bookmarkStart w:id="0" w:name="_GoBack"/>
      <w:r>
        <w:rPr>
          <w:rFonts w:hint="eastAsia" w:ascii="仿宋" w:hAnsi="仿宋" w:eastAsia="仿宋" w:cs="宋体"/>
          <w:kern w:val="0"/>
          <w:sz w:val="32"/>
          <w:szCs w:val="32"/>
        </w:rPr>
        <w:t>附件2：</w:t>
      </w:r>
    </w:p>
    <w:p w14:paraId="47596A1B">
      <w:pPr>
        <w:spacing w:line="540" w:lineRule="exact"/>
        <w:jc w:val="center"/>
        <w:rPr>
          <w:rFonts w:ascii="华文中宋" w:hAnsi="华文中宋" w:eastAsia="华文中宋" w:cs="宋体"/>
          <w:b/>
          <w:kern w:val="0"/>
          <w:sz w:val="52"/>
          <w:szCs w:val="52"/>
        </w:rPr>
      </w:pPr>
    </w:p>
    <w:p w14:paraId="2A390076">
      <w:pPr>
        <w:spacing w:line="540" w:lineRule="exact"/>
        <w:jc w:val="center"/>
        <w:rPr>
          <w:rFonts w:ascii="华文中宋" w:hAnsi="华文中宋" w:eastAsia="华文中宋" w:cs="宋体"/>
          <w:b/>
          <w:kern w:val="0"/>
          <w:sz w:val="52"/>
          <w:szCs w:val="52"/>
        </w:rPr>
      </w:pPr>
    </w:p>
    <w:p w14:paraId="77E0618B">
      <w:pPr>
        <w:spacing w:line="540" w:lineRule="exact"/>
        <w:jc w:val="center"/>
        <w:rPr>
          <w:rFonts w:ascii="华文中宋" w:hAnsi="华文中宋" w:eastAsia="华文中宋" w:cs="宋体"/>
          <w:b/>
          <w:kern w:val="0"/>
          <w:sz w:val="52"/>
          <w:szCs w:val="52"/>
        </w:rPr>
      </w:pPr>
    </w:p>
    <w:p w14:paraId="398166A2">
      <w:pPr>
        <w:spacing w:line="540" w:lineRule="exact"/>
        <w:jc w:val="center"/>
        <w:rPr>
          <w:rFonts w:ascii="华文中宋" w:hAnsi="华文中宋" w:eastAsia="华文中宋" w:cs="宋体"/>
          <w:b/>
          <w:kern w:val="0"/>
          <w:sz w:val="52"/>
          <w:szCs w:val="52"/>
        </w:rPr>
      </w:pPr>
    </w:p>
    <w:p w14:paraId="21A889DB">
      <w:pPr>
        <w:spacing w:line="540" w:lineRule="exact"/>
        <w:jc w:val="center"/>
        <w:rPr>
          <w:rFonts w:ascii="华文中宋" w:hAnsi="华文中宋" w:eastAsia="华文中宋" w:cs="宋体"/>
          <w:b/>
          <w:kern w:val="0"/>
          <w:sz w:val="52"/>
          <w:szCs w:val="52"/>
        </w:rPr>
      </w:pPr>
    </w:p>
    <w:p w14:paraId="74186C0F">
      <w:pPr>
        <w:spacing w:line="540" w:lineRule="exact"/>
        <w:jc w:val="center"/>
        <w:rPr>
          <w:rFonts w:ascii="华文中宋" w:hAnsi="华文中宋" w:eastAsia="华文中宋" w:cs="宋体"/>
          <w:b/>
          <w:kern w:val="0"/>
          <w:sz w:val="52"/>
          <w:szCs w:val="52"/>
        </w:rPr>
      </w:pPr>
    </w:p>
    <w:p w14:paraId="42B2527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7343621F">
      <w:pPr>
        <w:spacing w:line="540" w:lineRule="exact"/>
        <w:jc w:val="center"/>
        <w:rPr>
          <w:rFonts w:ascii="华文中宋" w:hAnsi="华文中宋" w:eastAsia="华文中宋" w:cs="宋体"/>
          <w:b/>
          <w:kern w:val="0"/>
          <w:sz w:val="52"/>
          <w:szCs w:val="52"/>
        </w:rPr>
      </w:pPr>
    </w:p>
    <w:p w14:paraId="59795C6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4345B462">
      <w:pPr>
        <w:spacing w:line="540" w:lineRule="exact"/>
        <w:jc w:val="center"/>
        <w:rPr>
          <w:rFonts w:hAnsi="宋体" w:eastAsia="仿宋_GB2312" w:cs="宋体"/>
          <w:kern w:val="0"/>
          <w:sz w:val="30"/>
          <w:szCs w:val="30"/>
        </w:rPr>
      </w:pPr>
    </w:p>
    <w:p w14:paraId="03765364">
      <w:pPr>
        <w:spacing w:line="540" w:lineRule="exact"/>
        <w:jc w:val="center"/>
        <w:rPr>
          <w:rFonts w:hAnsi="宋体" w:eastAsia="仿宋_GB2312" w:cs="宋体"/>
          <w:kern w:val="0"/>
          <w:sz w:val="30"/>
          <w:szCs w:val="30"/>
        </w:rPr>
      </w:pPr>
    </w:p>
    <w:p w14:paraId="2F6FEB2A">
      <w:pPr>
        <w:spacing w:line="540" w:lineRule="exact"/>
        <w:jc w:val="center"/>
        <w:rPr>
          <w:rFonts w:ascii="方正小标宋_GBK" w:hAnsi="宋体" w:eastAsia="方正小标宋_GBK" w:cs="宋体"/>
          <w:kern w:val="0"/>
          <w:sz w:val="36"/>
          <w:szCs w:val="36"/>
        </w:rPr>
      </w:pPr>
    </w:p>
    <w:p w14:paraId="13CB8342">
      <w:pPr>
        <w:spacing w:line="540" w:lineRule="exact"/>
        <w:jc w:val="center"/>
        <w:rPr>
          <w:rFonts w:hAnsi="宋体" w:eastAsia="仿宋_GB2312" w:cs="宋体"/>
          <w:kern w:val="0"/>
          <w:sz w:val="30"/>
          <w:szCs w:val="30"/>
        </w:rPr>
      </w:pPr>
    </w:p>
    <w:p w14:paraId="2F1D33FF">
      <w:pPr>
        <w:spacing w:line="540" w:lineRule="exact"/>
        <w:jc w:val="center"/>
        <w:rPr>
          <w:rFonts w:hAnsi="宋体" w:eastAsia="仿宋_GB2312" w:cs="宋体"/>
          <w:kern w:val="0"/>
          <w:sz w:val="30"/>
          <w:szCs w:val="30"/>
        </w:rPr>
      </w:pPr>
    </w:p>
    <w:p w14:paraId="61011BBE">
      <w:pPr>
        <w:spacing w:line="540" w:lineRule="exact"/>
        <w:jc w:val="center"/>
        <w:rPr>
          <w:rFonts w:hAnsi="宋体" w:eastAsia="仿宋_GB2312" w:cs="宋体"/>
          <w:kern w:val="0"/>
          <w:sz w:val="30"/>
          <w:szCs w:val="30"/>
        </w:rPr>
      </w:pPr>
    </w:p>
    <w:p w14:paraId="22416498">
      <w:pPr>
        <w:spacing w:line="540" w:lineRule="exact"/>
        <w:rPr>
          <w:rFonts w:hAnsi="宋体" w:eastAsia="仿宋_GB2312" w:cs="宋体"/>
          <w:kern w:val="0"/>
          <w:sz w:val="30"/>
          <w:szCs w:val="30"/>
        </w:rPr>
      </w:pPr>
    </w:p>
    <w:p w14:paraId="286ECF9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538423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公路日常养护</w:t>
      </w:r>
    </w:p>
    <w:p w14:paraId="76313F4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塔城公路管理局</w:t>
      </w:r>
    </w:p>
    <w:p w14:paraId="336DA6A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塔城公路管理局</w:t>
      </w:r>
    </w:p>
    <w:p w14:paraId="218EA7E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木拉尔汗·吾塔尔拜</w:t>
      </w:r>
    </w:p>
    <w:p w14:paraId="3612536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2026年03月30日</w:t>
      </w:r>
    </w:p>
    <w:p w14:paraId="405D8A0F">
      <w:pPr>
        <w:spacing w:line="700" w:lineRule="exact"/>
        <w:ind w:firstLine="708" w:firstLineChars="236"/>
        <w:jc w:val="left"/>
        <w:rPr>
          <w:rFonts w:hAnsi="宋体" w:eastAsia="仿宋_GB2312" w:cs="宋体"/>
          <w:kern w:val="0"/>
          <w:sz w:val="30"/>
          <w:szCs w:val="30"/>
        </w:rPr>
      </w:pPr>
    </w:p>
    <w:p w14:paraId="103DCDF1">
      <w:pPr>
        <w:spacing w:line="540" w:lineRule="exact"/>
        <w:rPr>
          <w:rStyle w:val="18"/>
          <w:rFonts w:ascii="黑体" w:hAnsi="黑体" w:eastAsia="黑体"/>
          <w:b w:val="0"/>
          <w:spacing w:val="-4"/>
          <w:sz w:val="32"/>
          <w:szCs w:val="32"/>
        </w:rPr>
      </w:pPr>
    </w:p>
    <w:p w14:paraId="0EE6601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B2D746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54B40F9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塔城公路事业发展中心所属5个养护所，1个收费站，养护总里程为1157.903公里。管养国道3条里程138.902公里，省道5条里程651.487公里，专用公路13条里程367.514公里，桥梁4375.99延米/143座，涵洞1695道，停车区3处。全年的公路日常养护工作需要通过开展公路技术状况调查，公路病害处治、桥梁预防性养护、公路沿线设施维护等，合理使用公路日常养护资金，提高公路技术状况指标，提升道路通行质量，完成年度公路技术状况预期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塔城公路事业发展中心隶属于自治区公路事业发展中心。主要职能为负责编报本辖区公路养护管理年度计划和预算，具体管理上级拨付的公路养护专项资金；负责开展春融路况恢复工作、公路技术状况调查、路域环境整治、公路日常养护、路面裂缝处治专项行动、示范路段创建、避险车道养护、次差路提升、除雪保交通等工作。负责辖区公路及沿线服务设施的养护和质量管理工作，以及公路交通战备、灾害应急处置、抢险救灾等工作；负责公路养护和施工机械设备的管理工作；负责辖区公路管理系统行业统计、经济调查和信息化建设；根据自治区公路事业发展中心委派，负责经营性公路的行业监管等工作；承办自治区公路事业发展中心交办的其他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塔城公路事业发展中心按照《公路养护技术规范》及公路日常养护相关要求开展公路路基、路面、桥涵、隧道、沿线设施的日常养护管理工作；对管养路段存在的病害进行修复，采取各项预防性养护，有效延缓公路衰减，增加公路使用寿命，为公众出行提供安全的通行环境；做好避险车道和老风口防风林的维护，开展公路防风雪保交通工作，及时清除路面、中央分隔带、路肩的积冰、积雪，撒布防滑砂、融雪剂，修补路面坑槽，确保冬季除雪任务按时限要求完成；积极开展公路经常性检查、定期检查、特殊检查、专项检查和加强日常巡道，发现损坏的公路及附属设施，及时修复更换。通过对公路病害的实施和养护，完成年度公路技术状况预期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2025年公路日常养护项目预算安排总额为1547.75万元，其中财政资金1547.75万元，其他资金0万元，2025年实际收到预算资金1547.75万元，预算资金到位率为100%。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本项目实际支付资金1547.75万元，预算执行率100%。项目资金主要用于支付公路、桥隧养护费用1059万元、公路绿化费用18.75万元、避险车道7万元、风雪保交通费用463万元。</w:t>
      </w:r>
    </w:p>
    <w:p w14:paraId="0BE1BC0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5F8B4F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部颁《公路养护技术规范》、《交通运输部关于进一步加强公路桥梁养护管理的若干意见》交公路发〔2013〕321号、《公路长大桥隧养护管理和安全运行若干规定》、《公路桥梁养护管理工作制度》（交公路发〔2007〕336号）要求，开展公路路基、路面、桥涵、隧道、沿线设施的日常公路养护管理工作。依据交通运输部颁发的《公路养护技术规范》，做好管养的公路防风雪保交通工作，及时有效清除路面、中央分隔带、路肩积冰、积雪、风积雪，撒布防滑砂、融雪剂，修补路面坑槽，确保冬季道路畅通。积极开展公路经常性检查、定期检查、特殊检查、专项检查和加强日常巡道，发现损坏的公路及附属设施，及时修复和更换被损坏的设施，同时做好避险车道和老风口防风林的维护。</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塔城公路事业发展中心计量支付管理办法》等相关管理制度，结合项目实施单位的规章制度以及财务相关资料，对项目进行评价，通过5月底及8月底两个节点监控项目执行率均达到财政要求，在执行过程中按照时间要求对预算进行分解，每月进行执行率跟踪，对每月未达到执行率情况进行分析，及时提升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（1）2025年5月31日，完成年度养护计划编制，实现管养公路、桥梁按计划养护，年度养护任务按计划开工率100%。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（2）2025年8月31日，按照公路养护计划，完成管养路段存在的病害修复及各项预防性养护，公路日常养护质量合格率100%。</w:t>
      </w:r>
    </w:p>
    <w:p w14:paraId="76577F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297EE00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2BFC5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此次根据《项目支出绩效评价管理办法》（财预〔2020〕10号）文件要求，对2025年度塔城公路事业发展中心实施的公路日常养护项目开展部门绩效评价，项目总金额1547.75万元。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2013986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2BFE2C7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（1）在数据采集时，采取客观数据，根据日常养护计量支付报表和预算执行报表进行统计，以保证各项指标的真实性。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我单位根据项目的实施资料研读及前期调研，结合项目的实际开展情况，将项目的指标体系进行了调整和完善，形成了项目绩效评价指标体系。评价指标体系严格按照《项目支出绩效评价管理办法》（财预〔2020〕10号）文件要求设置，指标体系设置一级指标共6个，包括决策指标、过程指标、产出指标、成本指标、效益指标、满意度指标六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一级指标为：决策、过程、产出、成本、效益、满意度。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二级指标为：项目立项、绩效目标、资金管理、数量指标、质量指标、时效指标、经济成本指标、社会效益指标、满意度指标。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管养公路日常养护里程数、公路日常养护质量合格率、符合《公路养护技术规范》要求验收率、年度养护任务按计划开工率、年度养护任务按计划完成率、管养公路保畅通行率、司乘人员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指标体系为评分所用，综合评价表中各指标的权重由该项目绩效评价小组根据绩效评价原理和评价需求，在调研基础上依据指标的重要性制定形成，我单位已将项目绩效评价指标体系模板上传到系统中。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三级指标分析环节：总体采用比较法，同时辅以文献法、成本效益法、因素分析法以及公众评判法，根据不同三级指标类型进行逐项分析。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100.00%-80%（含）、80%-60%（含）、60%-0%合理确定分值，详细评价方法的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④资金到位率：按照完成比率得分，并分析实际完成值和预期指标值之间的差距和原因。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预算执行率：按照完成比率得分，并分析实际完成值和预期指标值之间的差距和原因。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评价标准通常包括计划标准、行业标准、历史标准、其他标准等。本次绩效评价采用行业标准、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7F877B3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67A569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1、成立绩效评价小组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①评价组组长：艾来提·阿不拉，职责：党委副书记、主任，工作内容：负责中心绩效评价工作总体安排、统筹协调、指导推进；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②评价组成员：孙洁，职责：财务审计科科长，工作内容：负责中心绩效监控工作数据汇总，分析及上报并督促预算执行进度；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评价组成员：闫永飞，职责：养护管理科科长，工作内容：负责中心养护管理项目支出的绩效申报、绩效评价、绩效分析及绩效考核，统筹安排，协调推进，预算执行及项目进度，汇总各项目支出的执行比率，问题分析及改进措施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2、完善评价指标体系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评价指标体系是评价实施方案的核心。绩效评价小组通过对项目绩效目标已有指标进行分析研究，根据项目的资料研读及前期调研，结合项目的实际开展情况，严格按照《项目支出绩效评价管理办法》（财预〔2020〕10号）文件要求设置完善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3、核查资金使用情况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4、采集评价基础数据及相关资料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面收集项目相关资料和基础数据，完成绩效评价内容和评价指标体系的评价印证资料。整理该项目主要采用查阅相关文件政策、会计凭证等资料，采集项目资金支出情况、项目完成情况及项目成本构成等数据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5、形成综合评价意见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6EF4F04E">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5F55C90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此次绩效评价通过组论证的评价指标体系及评分标准，采用的方法为比较法，对公路日常养护项目绩效进行客观评价。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得出综合评价结论如下：公路日常养护项目共设置绩效目标19（三级指标）个，实现目标19个，完成率100%。其中项目决策指标共设置6个，满分指标6个，得分率100%；项目过程指标共设置5个，满分指标5个，得分率100%；项目产出指标共设置5个，满分指标5个，得分率100%；效益指标共设置1个，满分指标1个，得分率100%；项目满意度指标共设置1个，满分指标1个，得分率100%。该项目组织比较规范，目标完成情况良好，基本指标实现了预期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最终评分结果：总分为100分，其中：项目决策20分、过程管理20分、项目产出30分、项目效益20分、满意度指标10分。绩效评级为“优”。（优：90-100分，包含90分；良：80-90分，包含80分；中：60-80分，包含60分；差：60分以下）</w:t>
      </w:r>
    </w:p>
    <w:p w14:paraId="404CC40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6EC15B9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117C764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根据区中中心《关于下达2025年公路养护计划的通知》、《关于下达2025年收费公路支出计划的通知》文件要求进行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通过管养路段实际情况和该项目预算资金实施后取得的效果对绩效目标进行细化，共设置4个一级指标，6个二级指标，8个三级指标，根据管养公路日常养护里程数、公路日常养护质量合格率、符合《公路养护技术规范》要求验收率等要求开展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资金投入1547.75万元，根据各养护所路况调查数据编制公路桥隧养护预算费用，根据冬季除雪保交通实际情况编制冬季除雪保交通预算费用，根据避险车道养护情况编制避险车道预算费用。</w:t>
      </w:r>
    </w:p>
    <w:p w14:paraId="083B8E5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426C962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1547.75万元，到位资金1547.75万元，实际支出资金1547.75万元，资金到位率100%，预算执行率100%。资金使用合规，符合国家财经法规和财务管理制度以及有关专项资金管理办法的规定，资金支付均具有完整的审批程序和手续，与预算批复内容相符，不存在截留、挤占、挪用、虚列支出等情况。财务审计科依据财务内部控制管理制度根据经领导审批后的发票、计量支付表、中标通知书、党委会议记录、合同、竣工验收报告等进行付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组织实施分值8分，得分8分。其中管理制度健全性分值4分，得分4分；制度执行有效性分值4分，得分4分。该项目组织实施工程中严格按照塔城公路事业发展中心《计划管理办法》《计量支付管理办法》《日常养护管理办法》《等执行，财务和业务管理制度健全，且合法、合规、完整，制度执行遵守相关法律法规和相关管理规定；制度执行有效性分值4分，得分4分。每年与养护所签订《目标责任书》，完成日常养护策略分析，审核下达年度养护计划，按月进行计量支付，项目合同书、验收报告、技术鉴定等资料齐全并及时归档，项目实施的人员条件、场地设备、信息支撑等落实到位。</w:t>
      </w:r>
    </w:p>
    <w:p w14:paraId="26722B2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6F4D7FB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项目产出类指标由3个二级指标和5个三级指标构成，权重分30分，实际得分30分。具体如下：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“管养公路日常养护里程数”指标，预期指标值为≥1157公里，指标完成值为1157公里，完成率为100%，分值6分，得分6分。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“公路日常养护质量合格率”指标，预期指标值为=100%，指标完成值为100%，完成率为100%，分值6分，得分6分。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“符合《公路养护技术规范》要求验收率”指标，预期指标值为=100%，指标完成值为100%，完成率为100%，分值6分，得分6分。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“年度养护任务按计划开工率”指标，预期指标值为≥95%，指标完成值为100%，完成率为100%，分值6分，得分6分。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“年度养护任务按计划完成率”指标，预期指标值为≥95%，指标完成值为100%，完成率为100%，分值6分，得分6分。</w:t>
      </w:r>
    </w:p>
    <w:p w14:paraId="365D635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6553A3F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“管养公路保畅通行率”指标，预期指标值为≥95%，指标完成值为100%，完成率为100%，分值20分，得分20分。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塔城公路事业发展中心始终秉持高度的责任感和专业精神，积极投入到管养公路日常养护工作当中，致力于提升公路服务水平。通过我们的不懈努力，公路服务水平得到了显著的改善。我们精心打造了优良的通行环境，为司乘人员提供了安全、舒适的出行条件。在提升道路通行能力与服务水平的同时，也为群众的出行创造了更为便利的条件。在当年，即便遭遇了各种自然灾害和复杂情况，我们仍然成功地避免了公路交通阻断情况的发生，确保了管养公路保畅通行率达到了预期的100%。我中心将继续坚定地致力于公路日常养护工作，不断优化工作流程，提升服务质量，以更加饱满的热情和更加专业的态度，为社会经济的持续发展贡献更大的力量。</w:t>
      </w:r>
    </w:p>
    <w:p w14:paraId="47BC65C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“司乘人员满意度”指标，预期指标值为≥85%，指标完成值为95%，完成率为100%，分值10分，得分10分。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塔城公路事业发展中心通过进行公路日常养护工作，切实保障了沿线路容路貌的完好，促使路面保持干净整洁，让路基边坡顺适，使排水设施畅通无阻，将安全防护设施打造得完备完善，确保线形流畅，并实现各种标志的醒目齐全，成功营造出了“畅安舒美绿智”的道路环境，司乘人员满意度预期达到了90%，达到了既定的计划标准。</w:t>
      </w:r>
    </w:p>
    <w:p w14:paraId="4DE2B558">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24AB518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1.根据技术状况评定数据，制定科学的养护策略，制定公路日常养护计划。在公路养护经费紧张的状况下，实施精细化养护，合理精准地分配资金，确保资金使用效益最大化。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推广四新技术，提升养护工作的科学性与规范性。不断总结经验寻求创新，结合管养公路实际情况，制定可实施的公路养护的技术标准与管理流程。与此同时，强化对养护人员的培训，提升安全意识及技术水平，确保养护工作的质量及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3.建立联动机制，与交通执法、公安交警、气象等部门建立合作关系，共享路况信息，共同应对管养路线存在的各类问题。通过定期召开联席会议，协调各方资源，提升工作效率，确保管养公路的安全畅通。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1.公路养护管理治理能力需要提高。一是管理创新、技术创新方面缺乏活力，推广“四新”技术力度不够。二是协调能动方面还需进一步提升，应急处突能力有待增强。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公路服务功能需进一步强化。当前公众对公路交通的要求越来越高，单纯的“畅通”已经无法满足出行需求，保持国省干线公路安全的公路出行环境、良好的路域环境、较好的路面路况通行能力、完善的公路服务功能，才能与人民群众日益增长的出行环境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3.人员配备方面需要完善。我中心一线养护作业职工老龄化严重，在目前接养路段持续增多，一线养护生产力明显不足。</w:t>
      </w:r>
    </w:p>
    <w:p w14:paraId="555EBCAA">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1A25413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加强绩效管理学习和培训，提升项目整体预算绩效管理水平通过学习和培训了解预算绩效管理的基本理论，掌握项目支出绩效管理中目标设置、运行监控、绩效评价、结果应用等环节关注重点以及对应环节的成果输出，并做好及时归档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加强管养基础能力建设。提升普通国省道养护的机械化、专业化能力，是加强管养基础能力建设的重点，根据普通国省道管理养护和作业特点，加强对一线管理养护机构的设备配置，引导和鼓励养护单位提高养护机械化水平。推进建立健全养护专业技术能力认定工作机制，强化养护队伍保障。</w:t>
      </w:r>
    </w:p>
    <w:p w14:paraId="5629A4F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52D9975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27128B46">
      <w:pPr>
        <w:spacing w:line="540" w:lineRule="exact"/>
        <w:ind w:firstLine="567"/>
        <w:rPr>
          <w:rStyle w:val="18"/>
          <w:rFonts w:ascii="仿宋" w:hAnsi="仿宋" w:eastAsia="仿宋"/>
          <w:b w:val="0"/>
          <w:spacing w:val="-4"/>
          <w:sz w:val="32"/>
          <w:szCs w:val="32"/>
        </w:rPr>
      </w:pPr>
    </w:p>
    <w:p w14:paraId="7EF09888">
      <w:pPr>
        <w:spacing w:line="540" w:lineRule="exact"/>
        <w:ind w:firstLine="567"/>
        <w:rPr>
          <w:rStyle w:val="18"/>
          <w:rFonts w:ascii="仿宋" w:hAnsi="仿宋" w:eastAsia="仿宋"/>
          <w:b w:val="0"/>
          <w:spacing w:val="-4"/>
          <w:sz w:val="32"/>
          <w:szCs w:val="32"/>
        </w:rPr>
      </w:pPr>
    </w:p>
    <w:p w14:paraId="0B327238">
      <w:pPr>
        <w:spacing w:line="540" w:lineRule="exact"/>
        <w:ind w:firstLine="567"/>
        <w:rPr>
          <w:rStyle w:val="18"/>
          <w:rFonts w:ascii="仿宋" w:hAnsi="仿宋" w:eastAsia="仿宋"/>
          <w:b w:val="0"/>
          <w:spacing w:val="-4"/>
          <w:sz w:val="32"/>
          <w:szCs w:val="32"/>
        </w:rPr>
      </w:pPr>
    </w:p>
    <w:p w14:paraId="710D16D0">
      <w:pPr>
        <w:spacing w:line="540" w:lineRule="exact"/>
        <w:ind w:firstLine="567"/>
        <w:rPr>
          <w:rStyle w:val="18"/>
          <w:rFonts w:ascii="仿宋" w:hAnsi="仿宋" w:eastAsia="仿宋"/>
          <w:b w:val="0"/>
          <w:spacing w:val="-4"/>
          <w:sz w:val="32"/>
          <w:szCs w:val="32"/>
        </w:rPr>
      </w:pPr>
    </w:p>
    <w:p w14:paraId="59BEBA25">
      <w:pPr>
        <w:spacing w:line="540" w:lineRule="exact"/>
        <w:ind w:firstLine="567"/>
        <w:rPr>
          <w:rStyle w:val="18"/>
          <w:rFonts w:ascii="仿宋" w:hAnsi="仿宋" w:eastAsia="仿宋"/>
          <w:b w:val="0"/>
          <w:spacing w:val="-4"/>
          <w:sz w:val="32"/>
          <w:szCs w:val="32"/>
        </w:rPr>
      </w:pPr>
    </w:p>
    <w:p w14:paraId="1C5E8932">
      <w:pPr>
        <w:spacing w:line="540" w:lineRule="exact"/>
        <w:ind w:firstLine="567"/>
        <w:rPr>
          <w:rStyle w:val="18"/>
          <w:rFonts w:ascii="仿宋" w:hAnsi="仿宋" w:eastAsia="仿宋"/>
          <w:b w:val="0"/>
          <w:spacing w:val="-4"/>
          <w:sz w:val="32"/>
          <w:szCs w:val="32"/>
        </w:rPr>
      </w:pPr>
    </w:p>
    <w:p w14:paraId="689B14CD">
      <w:pPr>
        <w:spacing w:line="540" w:lineRule="exact"/>
        <w:ind w:firstLine="567"/>
        <w:rPr>
          <w:rStyle w:val="18"/>
          <w:rFonts w:ascii="仿宋" w:hAnsi="仿宋" w:eastAsia="仿宋"/>
          <w:b w:val="0"/>
          <w:spacing w:val="-4"/>
          <w:sz w:val="32"/>
          <w:szCs w:val="32"/>
        </w:rPr>
      </w:pPr>
    </w:p>
    <w:p w14:paraId="48951CC9">
      <w:pPr>
        <w:spacing w:line="540" w:lineRule="exact"/>
        <w:ind w:firstLine="567"/>
        <w:rPr>
          <w:rStyle w:val="18"/>
          <w:rFonts w:ascii="仿宋" w:hAnsi="仿宋" w:eastAsia="仿宋"/>
          <w:b w:val="0"/>
          <w:spacing w:val="-4"/>
          <w:sz w:val="32"/>
          <w:szCs w:val="32"/>
        </w:rPr>
      </w:pPr>
    </w:p>
    <w:p w14:paraId="7AC1C844">
      <w:pPr>
        <w:spacing w:line="540" w:lineRule="exact"/>
        <w:ind w:firstLine="567"/>
        <w:rPr>
          <w:rStyle w:val="18"/>
          <w:rFonts w:ascii="仿宋" w:hAnsi="仿宋" w:eastAsia="仿宋"/>
          <w:b w:val="0"/>
          <w:spacing w:val="-4"/>
          <w:sz w:val="32"/>
          <w:szCs w:val="32"/>
        </w:rPr>
      </w:pPr>
    </w:p>
    <w:p w14:paraId="59FE193A">
      <w:pPr>
        <w:spacing w:line="540" w:lineRule="exact"/>
        <w:ind w:firstLine="567"/>
        <w:rPr>
          <w:rStyle w:val="18"/>
          <w:rFonts w:ascii="仿宋" w:hAnsi="仿宋" w:eastAsia="仿宋"/>
          <w:b w:val="0"/>
          <w:spacing w:val="-4"/>
          <w:sz w:val="32"/>
          <w:szCs w:val="32"/>
        </w:rPr>
      </w:pPr>
    </w:p>
    <w:p w14:paraId="3868806B">
      <w:pPr>
        <w:spacing w:line="540" w:lineRule="exact"/>
        <w:ind w:firstLine="567"/>
        <w:rPr>
          <w:rStyle w:val="18"/>
          <w:rFonts w:ascii="仿宋" w:hAnsi="仿宋" w:eastAsia="仿宋"/>
          <w:b w:val="0"/>
          <w:spacing w:val="-4"/>
          <w:sz w:val="32"/>
          <w:szCs w:val="32"/>
        </w:rPr>
      </w:pPr>
    </w:p>
    <w:p w14:paraId="6C81280E">
      <w:pPr>
        <w:spacing w:line="540" w:lineRule="exact"/>
        <w:ind w:firstLine="567"/>
        <w:rPr>
          <w:rStyle w:val="18"/>
          <w:rFonts w:ascii="仿宋" w:hAnsi="仿宋" w:eastAsia="仿宋"/>
          <w:b w:val="0"/>
          <w:spacing w:val="-4"/>
          <w:sz w:val="32"/>
          <w:szCs w:val="32"/>
        </w:rPr>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55212C9">
        <w:pPr>
          <w:pStyle w:val="12"/>
          <w:jc w:val="center"/>
        </w:pPr>
        <w:r>
          <w:fldChar w:fldCharType="begin"/>
        </w:r>
        <w:r>
          <w:instrText xml:space="preserve">PAGE   \* MERGEFORMAT</w:instrText>
        </w:r>
        <w:r>
          <w:fldChar w:fldCharType="separate"/>
        </w:r>
        <w:r>
          <w:rPr>
            <w:lang w:val="zh-CN"/>
          </w:rPr>
          <w:t>1</w:t>
        </w:r>
        <w:r>
          <w:fldChar w:fldCharType="end"/>
        </w:r>
      </w:p>
    </w:sdtContent>
  </w:sdt>
  <w:p w14:paraId="0BAF545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0856B03"/>
    <w:rsid w:val="4C3D1751"/>
    <w:rsid w:val="4D2606A1"/>
    <w:rsid w:val="7DF9C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2026-09-07T16:53:32Z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