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4F17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08E9FE7">
      <w:pPr>
        <w:spacing w:line="540" w:lineRule="exact"/>
        <w:jc w:val="center"/>
        <w:rPr>
          <w:rFonts w:ascii="华文中宋" w:hAnsi="华文中宋" w:eastAsia="华文中宋" w:cs="宋体"/>
          <w:b/>
          <w:kern w:val="0"/>
          <w:sz w:val="52"/>
          <w:szCs w:val="52"/>
        </w:rPr>
      </w:pPr>
    </w:p>
    <w:p w14:paraId="6AADF159">
      <w:pPr>
        <w:spacing w:line="540" w:lineRule="exact"/>
        <w:jc w:val="center"/>
        <w:rPr>
          <w:rFonts w:ascii="华文中宋" w:hAnsi="华文中宋" w:eastAsia="华文中宋" w:cs="宋体"/>
          <w:b/>
          <w:kern w:val="0"/>
          <w:sz w:val="52"/>
          <w:szCs w:val="52"/>
        </w:rPr>
      </w:pPr>
    </w:p>
    <w:p w14:paraId="69FAEE08">
      <w:pPr>
        <w:spacing w:line="540" w:lineRule="exact"/>
        <w:jc w:val="center"/>
        <w:rPr>
          <w:rFonts w:ascii="华文中宋" w:hAnsi="华文中宋" w:eastAsia="华文中宋" w:cs="宋体"/>
          <w:b/>
          <w:kern w:val="0"/>
          <w:sz w:val="52"/>
          <w:szCs w:val="52"/>
        </w:rPr>
      </w:pPr>
    </w:p>
    <w:p w14:paraId="031508D3">
      <w:pPr>
        <w:spacing w:line="540" w:lineRule="exact"/>
        <w:jc w:val="center"/>
        <w:rPr>
          <w:rFonts w:ascii="华文中宋" w:hAnsi="华文中宋" w:eastAsia="华文中宋" w:cs="宋体"/>
          <w:b/>
          <w:kern w:val="0"/>
          <w:sz w:val="52"/>
          <w:szCs w:val="52"/>
        </w:rPr>
      </w:pPr>
    </w:p>
    <w:p w14:paraId="3C2F951B">
      <w:pPr>
        <w:spacing w:line="540" w:lineRule="exact"/>
        <w:jc w:val="center"/>
        <w:rPr>
          <w:rFonts w:ascii="华文中宋" w:hAnsi="华文中宋" w:eastAsia="华文中宋" w:cs="宋体"/>
          <w:b/>
          <w:kern w:val="0"/>
          <w:sz w:val="52"/>
          <w:szCs w:val="52"/>
        </w:rPr>
      </w:pPr>
    </w:p>
    <w:p w14:paraId="4CA0E11E">
      <w:pPr>
        <w:spacing w:line="540" w:lineRule="exact"/>
        <w:jc w:val="center"/>
        <w:rPr>
          <w:rFonts w:ascii="华文中宋" w:hAnsi="华文中宋" w:eastAsia="华文中宋" w:cs="宋体"/>
          <w:b/>
          <w:kern w:val="0"/>
          <w:sz w:val="52"/>
          <w:szCs w:val="52"/>
        </w:rPr>
      </w:pPr>
    </w:p>
    <w:p w14:paraId="5EB8122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0C5EBF6D">
      <w:pPr>
        <w:spacing w:line="540" w:lineRule="exact"/>
        <w:jc w:val="center"/>
        <w:rPr>
          <w:rFonts w:ascii="华文中宋" w:hAnsi="华文中宋" w:eastAsia="华文中宋" w:cs="宋体"/>
          <w:b/>
          <w:kern w:val="0"/>
          <w:sz w:val="52"/>
          <w:szCs w:val="52"/>
        </w:rPr>
      </w:pPr>
    </w:p>
    <w:p w14:paraId="41F7DC5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0CE83FF0">
      <w:pPr>
        <w:spacing w:line="540" w:lineRule="exact"/>
        <w:jc w:val="center"/>
        <w:rPr>
          <w:rFonts w:hAnsi="宋体" w:eastAsia="仿宋_GB2312" w:cs="宋体"/>
          <w:kern w:val="0"/>
          <w:sz w:val="30"/>
          <w:szCs w:val="30"/>
        </w:rPr>
      </w:pPr>
    </w:p>
    <w:p w14:paraId="19F7761A">
      <w:pPr>
        <w:spacing w:line="540" w:lineRule="exact"/>
        <w:jc w:val="center"/>
        <w:rPr>
          <w:rFonts w:hAnsi="宋体" w:eastAsia="仿宋_GB2312" w:cs="宋体"/>
          <w:kern w:val="0"/>
          <w:sz w:val="30"/>
          <w:szCs w:val="30"/>
        </w:rPr>
      </w:pPr>
    </w:p>
    <w:p w14:paraId="6899D846">
      <w:pPr>
        <w:spacing w:line="540" w:lineRule="exact"/>
        <w:jc w:val="center"/>
        <w:rPr>
          <w:rFonts w:ascii="方正小标宋_GBK" w:hAnsi="宋体" w:eastAsia="方正小标宋_GBK" w:cs="宋体"/>
          <w:kern w:val="0"/>
          <w:sz w:val="36"/>
          <w:szCs w:val="36"/>
        </w:rPr>
      </w:pPr>
    </w:p>
    <w:p w14:paraId="6856D349">
      <w:pPr>
        <w:spacing w:line="540" w:lineRule="exact"/>
        <w:jc w:val="center"/>
        <w:rPr>
          <w:rFonts w:hAnsi="宋体" w:eastAsia="仿宋_GB2312" w:cs="宋体"/>
          <w:kern w:val="0"/>
          <w:sz w:val="30"/>
          <w:szCs w:val="30"/>
        </w:rPr>
      </w:pPr>
    </w:p>
    <w:p w14:paraId="1865E002">
      <w:pPr>
        <w:spacing w:line="540" w:lineRule="exact"/>
        <w:jc w:val="center"/>
        <w:rPr>
          <w:rFonts w:hAnsi="宋体" w:eastAsia="仿宋_GB2312" w:cs="宋体"/>
          <w:kern w:val="0"/>
          <w:sz w:val="30"/>
          <w:szCs w:val="30"/>
        </w:rPr>
      </w:pPr>
    </w:p>
    <w:p w14:paraId="78FDE998">
      <w:pPr>
        <w:spacing w:line="540" w:lineRule="exact"/>
        <w:jc w:val="center"/>
        <w:rPr>
          <w:rFonts w:hAnsi="宋体" w:eastAsia="仿宋_GB2312" w:cs="宋体"/>
          <w:kern w:val="0"/>
          <w:sz w:val="30"/>
          <w:szCs w:val="30"/>
        </w:rPr>
      </w:pPr>
    </w:p>
    <w:p w14:paraId="63849659">
      <w:pPr>
        <w:spacing w:line="540" w:lineRule="exact"/>
        <w:rPr>
          <w:rFonts w:hAnsi="宋体" w:eastAsia="仿宋_GB2312" w:cs="宋体"/>
          <w:kern w:val="0"/>
          <w:sz w:val="30"/>
          <w:szCs w:val="30"/>
        </w:rPr>
      </w:pPr>
    </w:p>
    <w:p w14:paraId="79709A2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68A264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公路日常养护</w:t>
      </w:r>
    </w:p>
    <w:p w14:paraId="560356E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阿克苏公路管理局</w:t>
      </w:r>
    </w:p>
    <w:p w14:paraId="12C1A63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阿克苏公路管理局</w:t>
      </w:r>
    </w:p>
    <w:p w14:paraId="7279FED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杨筱筠</w:t>
      </w:r>
    </w:p>
    <w:p w14:paraId="6265A74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2026年03月30日</w:t>
      </w:r>
    </w:p>
    <w:p w14:paraId="252E11A4">
      <w:pPr>
        <w:spacing w:line="700" w:lineRule="exact"/>
        <w:ind w:firstLine="708" w:firstLineChars="236"/>
        <w:jc w:val="left"/>
        <w:rPr>
          <w:rFonts w:hAnsi="宋体" w:eastAsia="仿宋_GB2312" w:cs="宋体"/>
          <w:kern w:val="0"/>
          <w:sz w:val="30"/>
          <w:szCs w:val="30"/>
        </w:rPr>
      </w:pPr>
    </w:p>
    <w:p w14:paraId="18B9EBFA">
      <w:pPr>
        <w:spacing w:line="540" w:lineRule="exact"/>
        <w:rPr>
          <w:rStyle w:val="18"/>
          <w:rFonts w:ascii="黑体" w:hAnsi="黑体" w:eastAsia="黑体"/>
          <w:b w:val="0"/>
          <w:spacing w:val="-4"/>
          <w:sz w:val="32"/>
          <w:szCs w:val="32"/>
        </w:rPr>
      </w:pPr>
    </w:p>
    <w:p w14:paraId="735975D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B51F53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3402C3F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阿克苏公路事业发展中心2025年管养里程共计1737.467公里，其中：国道5条/1225.618公里，分别为G217线、G219线、G314线、G579线、G580线，其中：G217线一级公路5.252公里，二级公路332.342公里，合计337.594公里；G219线二级公路125.073公里；G314线一级公路42.892公里，二级公路400.159公里，合计443.051公里；G579线二级公路90.063公里；G580线一级公路52.087公里，二级公路合计177.75公里，合计229.837公里。省道6条/350.093公里，分别为S208线、S209线、S211线、S306线、S307线、S308线，其中：S208线二级公路59.017公里（其中S208线1.6km于2025年1月10日已移交，年报中尚未移除）；S209线二级公路18.461公里；S211线二级公路36公里；S306线二级公路12.85公里，三级公路76.429公里，合计89.279公里；S307线二级公路41.18公里，三级公路80公里，合计121.18公里；S308线二级公路26.156公里。专用线7条/161.756公里，分别为Z598线、Z620线、Z621线、Z627线、Z641线、Z642线、Z644线。其中：Z598线二级公路7.5公里；Z620线三级公路30.641，四级公路31.926公里，合计62.54公里；Z621线三级公路9.1公里，四级公路60.744公里，合计69.844公里；Z627线二级公路合计6.97公里；Z641线三级公路5.126公里；Z642线一级公路2.035公里；Z644线二级公路5.719公里，一级公路2.022公里，合计7.741公里。总计桥梁761座，涵洞3334道。下辖8个养护所、5个收费站、7个服务区，担负着阿克苏地区境内国道、省道、边防公路和专用公路及沿线服务设施的养护和管理工作，以及公路交通战备、灾害应急处置、抢险救灾等工作。管养公路优良路率为85.23%，中、次、差路占比较低，但由于我中心管养大部分公路路龄较长，处于超期服役阶段，各类路面各类病害逐年凸显、路况水平加速衰变，要继续保持和提升公路路况水平，公路养护科学决策能力、养护队伍专业化上仍存在一定差距。受养护日常费用的限制，养护工作局限在补坑槽、填裂缝等保持路况的基本养护水平，路况提升并不明显。2025年度，公路日常养护项目2648.5万元，主要用于全中心公路、桥隧日常养护、沙害养护、桥梁预防性养护、桥梁看护、避险车道养护，以保持国省干线公路安全的公路出行环境、良好的路域环境、较好的路面路况通行能力、完善的公路服务功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负责阿克苏境内国省道干线的养护管理、收费服务、应急保通工作；负责阿克苏境内新疆交通投资（集团）有限公司阿克苏分公司1家经营性公路的公路养护、收费等方面的服务、指导、监督工作。总计监管1条国道（G3012线），共计501公里，涵盖16座收费站和6对服务区；负责交通运输厅委托涉路施工行政许可事项（辅助）受理、核查工作。核定编制531人，实有在编在岗640人（其中：干部288人，工人352人；男职工487人，女职工153人；汉族职工186人，少数民族职工454人），聘用制收费人员182人，离退休职工1048人。下辖8个养护所、5个收费站，5个服务区、20个养护站。下设党总支9个，党支部35个（在职党支部27个，退休党支部8个），管理党员421人（在职党员249人，退休党员172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主要用于公路、桥隧养护、沙害路段养护、避险车道养护、冬季风雪保交通的材料机械费用的支出。本项目涉及范围为阿克苏公路事业发展中心管养范围内的所有国省干线及专用公路。主要实施内容按照《公路养护技术规范》要求，开展公路路基、路面、桥涵、隧道、沿线设施的小修养护管理工作。主要开展以下工作：一是开展日常养护管理，科学合理安排养护计划。根据第一次路况检评结果，结合年初病害发展态势，科学合理编制了本年度养护策略。为确保年度养护计划的严肃性，对已编制完成的清单进行再次复核、调整，对清单项目按照轻重缓急筛选排序，并充分结合我中心现有库存材料，使有限的养护资金解决最迫切的养护需求，确保养护策略制定科学、养护资金安排合理。二是以路面养护为中心，开展日常养护工作。推动28公里中等路提优及13公里次差路处治，全部列入路改造计划，采用灌缝后封层的处置方式，部分病害严重路段采用了双层封层，同步碎石封层等处置方式，逐年逐路段提升了路况水平。三是按照交通运输部桥隧涵养护工作要求，积极开展养护工作。充分利用《桥梁养护管理系统》（CBMS），实地核查相应的静态基础数据，及时更新桥梁信息及病害记录，完善桥梁技术档案，做好桥梁动态管理工作。2025年阿克苏公路事业发展中心开展23座桥梁日常维修，确保管养范围内三类桥梁减少。四是加大路域环境整治，让公路“颜值”再提升。严格落实公路用地及公路建筑控制区“八个无”要求，以路域环境整治、交安设施维修为抓手，以日常养护为主力，整合资源、集中对路域范围沿线垃圾，波形护栏、隧道等进行清扫冲洗，对辖区路段边沟、涵洞、桥梁泄水孔进行疏通，对波形梁护栏板、护栏端头、路口警示柱、公路标志标牌、公里桩百米桩等设施损毁缺失以及道路标线磨损的进行补设，确保路面整洁，护栏干净，边沟畅通、安全防护设施完好、公路标线清晰、桥隧涵运营良好，全面提升公路路域环境质量。五是着力提升养护数据化水平，做好养护系统运营管理。各养护所均严格按照《阿克苏公路事业发展中心养护系统运营评价管理办法》，加强养护子系统运行管理，巡道管理和养护作业区相关数据更新率较好，后期我中心将继续加强监管，按照时间节点推进，完成子系统中数据的录入，保障数据录入的准确性、及时性、真实性。 六是做好防汛保通管理，保障国省干线安全畅通。2025年累计开展公路巡查8217次（含日常巡查7775次、夜间巡查192次、特殊巡查250次）。现场处理3618条，下发任务通知单111份，启动预警17次，并在规定时限内处治完成。自2025年01月01日至2025年12月31日，发生除雪25次，涉及阿克苏等养护所，主要在G217线,G219线,G314线等国省干线及专用公路共12条路线，平均降雪厚度约3.1012cm，清理积雪38.1555万立方米，除冰136.1万平方米，总计除雪里程1352.085公里，投入机械136.5台班，投入抢险人员252.7工日，消耗刀片8.0套，投入防滑料30.5立方米，投入融雪剂270.6吨，救助受阻人数0人，受阻车辆0辆。确保我中心管养的所有国省干线公路均保持道路畅通。七是强化公路安全隐患的排查力度，逐步消除安全隐患风险点。组织开展4次安全隐患大排查行动，重点检查易积水路段、桥梁、隧道、高边坡、临水临崖等关键部位，累计排查灾害风险点位378处（其中二级风险点37处、三级风险点229处、四级风险点112处）。截至目前，已处置二级风险点12处，安装边坡监测设备2处；期间新增风险点15处，升级二级风险点25处、三级风险点5处。针对所有排查出的风险点，均已建立详细台账，明确整改措施与公路隐患排查包保责任清单。夯实应急储备，建强抢险队伍：提前储备充足应急物资，包括编织袋28303个、砂石料3725吨、应急照明设备4套、警示标志牌8套、钢筋笼680个、铅丝笼3211平方米、融雪剂435吨、防滑沙75立方米等；组建16支应急抢险队伍（共计304人），科学分布于各管养路段，确保应急力量随时待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（1）项目资金安排落实、总投入等情况分析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公路日常养护项目预算安排总额为2648.5万元，其中财政资金2648.5万元，其他资金0万元，2025年实际收到预算资金2648.5万元，预算资金到位率为100%。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本项目实际支付资金2648.5万元，预算执行率100%。项目资金主要用于公路、桥隧养护费用2476万元、沙害养护费用88万元、避险车道费用3.5万元、风雪保交通费用81万元。</w:t>
      </w:r>
    </w:p>
    <w:p w14:paraId="2FFE852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3615B3C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公路养护工程管理办法》、《公路养护技术标准》等要求，以“优化优良路、稳定中等路，提升次差路”为目标，建立规范科学的管理体系与流程，科学制定养护策略和养护目标，对阿克苏地区国省干线公路开展日常养护和公路轻微损坏的维修，使管养公路经常保持完好状态，按期完成2025年干线公路小修养护各项指标，保障1696.136km普通国省干线公路安全畅通，为社会公众提供公益出行服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（1）2025年5月底执行情况较好，根据日常养护管理工作的实际情况和辖区气候情况，每月都能够正常开展日常养护任务，都能够按2025年公路养护计划开展各类日常养护任务。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采取的措施：对工程类的项目，加快合同审核流程和材料到场验收，尽快办理资金支付。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2025年8月底执行情况较好，年工作任务完成达到80%，完成路面坑槽、拥包、沉陷等变形类病害处治12398.31平方米、单条裂缝处治165980.58延米、年工作任务完成达到70%，完成路面坑槽、拥包、沉陷等变形类病害处治30098.31平方米、单条裂缝处治1236930.58延米、网状裂缝处治10479.00延米；完成伸缩缝装置更换809.00米、梁（板）桥上部裂缝维修7570.21米、梁（板）桥破损维修3.33立方米、桥梁结构混凝土维修3169.74平方米、桥梁除碱、防腐923.20平方米、墩、台修补116.00立方米。2025年底，项目指标100%完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提升措施：每月对所有实施的项目进行跟踪管理，加强监督和管理，确保资金在预算内执行。</w:t>
      </w:r>
    </w:p>
    <w:p w14:paraId="25FDB69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6AA81FF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78BD58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此次我单位根据《项目支出绩效评价管理办法》（财预〔2020〕10号）文件要求对2025年度我单位实施的公路日常养护项目开展部门绩效评价，项目总金额2648.5万元。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14:paraId="019501F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3B0F14D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我单位已将项目绩效评价指标体系模板上传到系统中。上传文件包括评价指标体系，项目评分表，下发模板填写后的评价报告。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评价标准参照计划标准，以预先制定的目标、计划、预算、定额等作为评价标准。</w:t>
      </w:r>
    </w:p>
    <w:p w14:paraId="563F74D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70DAF8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（二）绩效评价工作过程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本次评价成立了评价工作组，成员如下：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1.评价组组长：肖坤，职责：负责阿克苏公路事业发展中心绩效评价总体工作，工作内容：审批绩效自评方案,监督、检查、核实绩效自评结果;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组成员：徐鸿飞，职责：主要负责基本费用绩效评价，工作内容：起草和修改绩效考评方案报自评领导工作组会议讨论通过，实施执行绩效自评方案；牵头组织并实施年度绩效自评，根据组长指示，对考评结果进行复核，完成绩效评价工作组安排的其他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评价组成员：刘兰，职责：主要负责专项费用绩效评价，工作内容：起草和修改绩效考评方案报自评领导工作组会议讨论通过，实施执行绩效自评方案；牵头组织并实施年度绩效自评，根据组长指示，对考评结果进行复核，完成绩效评价工作组安排的其他工作。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14:paraId="1524045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3855E91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次绩效评价通过组论证的评价指标体系及评分标准，采用的方法为比较法，对公路日常养护项目绩效进行客观评价，最终评分结果：总分为100分，其中：项目决策20分、过程管理20分、项目产出30分、项目效益20分、满意度指标10分。绩效评级为“优”。</w:t>
      </w:r>
    </w:p>
    <w:p w14:paraId="170BEB3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71CB017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188D7E1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符合《公路养护技术规范》、《交通运输部关于进一步加强公路桥梁养护管理的若干意见》交公路发〔2013〕321号、《公路长大桥隧养护管理和安全运行若干规定》、《公路桥梁养护管理工作制度》（交公路发〔2007〕336号）要求，与阿克苏公路事业发展中心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设立目标时阿克苏公路事业发展中心养护领导小组按照2024年年末技术状况评定结果及第三方车检指标，对全中心管辖公路MQI值、PQI值、SCI值、BCI值等技术指标情况、2024年桥梁定期检查评定结果、隧道评定结果进行了科学分析和决策，按照日常养护全年重点工作任务和预期达到的目标，参考历年日常养护费用下达情况，设定各项产出目标，并经阿克苏公路事业发展中心绩效评价工作组审定，确定各项绩效目标。项目绩效目标明确，将项目绩效目标细化分解为具体的绩效指标，通过清晰、可衡量的指标值予以体现，与项目目标任务数或计划数相对应。 2025年，阿克苏公路事业发展中心年管养公路优良路率达到89.83%。为保证国省干线公路服务水平，养护工作实行标准化、精细化、规范化、日常化，我中心积极做好公路、桥涵的各项管理工作，保持良好的路容路貌。紧密结合公路技术状况调查评价，编制全年养护策略，科学分配中心各养护所2025年度小修养护经费，合理制定专项养护工程计划，确保管辖路段日常养护工作正常有序开展。加大巡道工作力度、加强桥梁及涵洞的检查疏通工作和日常保养；加强路面养护工作，对路面病害及时处理，确保车辆行驶安全；加强路域环境整治，各养护所与各县市人民政府签订路域环境责任书，明确双方责任，及时清理公路用地范围内垃圾，确保所辖路域环境的干净整洁。打造养护示范路，提高各单位精细化养护意识和标准，进一步与迎国评工作的标准有机结合，并贯穿到日常养护工作中来，后期还将样板路段的理念和做法进行总结完善及推广开来，大力提高全中心各路段养护质量，不断提升公路服务品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测算标准按照部颁《公路养护技术规范》、《交通运输部关于进一步加强公路桥梁养护管理的若干意见》交公路发〔2013〕321号、《公路长大桥隧养护管理和安全运行若干规定》、《公路桥梁养护管理工作制度》（交公路发〔2007〕336号）及《公路养护技术规范》要求，测算公路路基、路面、桥涵、隧道、沿线设施的日常养护费用。其中公路桥隧养护费用：包括公路、桥梁、隧道三部分。普通公路按油路0.9万元/公里、砂砾路按0.55万元/公里计算机械费、材料费的公里成本计算材料机械费，收费公路按高速、一级15000元/公里，二级路9000元/公里，匝道5000元/公里，计算机械费、材料费的公里成本计算材料机械费。按80元/延米计算桥梁日常养护费用，对一类、二类桥的开展预防性养护工作。按300元/延米计算隧道日常养护费用；病害专项处治费：对于沥青路面出现裂缝、麻面、松散、翻浆等集中病害路段，日常养护无法解决，及时采取相应的维修措施，防治路面病害发展和破损面积增大，确保行车安全，为社会公众提供“畅安舒美”通行环境。阿克苏公路事业发展中心2025年年初完成第一次技术状况评定后，按照评定结果，科学合理制定全年养护计划，按照全年工作重点和各养护所养护工作实际需求，分配全年养护资金，下达分解计划。</w:t>
      </w:r>
    </w:p>
    <w:p w14:paraId="2BFE269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392771A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项目过程管理类指标由2个二级指标和5个三级指标构成，权重分20分，实际得分20分。具体如下：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2648.5万元，到位资金2648.5万元，实际支出资金2648.5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2648.5万元全部用于公路、桥隧日常养护、沙害养护、避险车道养护和风雪保交通。公路日常养护费用分解经专题会、党委会研究，下达至各养护所，费用分解合理、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公路日常养护项目实施按照《公路养护技术规范》《交通运输部关于进一步加强公路桥梁养护管理的若干意见》交公路发﹝2013﹞321号、《公路长大桥隧养护管理和安全运行若干规定》、《公路桥梁养护管理工作制度》（交公路发﹝2007﹞336号）等相关制度实施，实施过程中，阿克苏公路事业发展中心围绕改善路面技术状况、完善交通安全设施、美化公路路域环境、优化出行服务等内容，从路况水平、服务设施、路域环境等方面提高要求、提高标准，发挥示范引领作用。</w:t>
      </w:r>
    </w:p>
    <w:p w14:paraId="721D63B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214CD71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项目产出类指标由3个二级指标和6个三级指标构成，权重分30分，实际得分30分。具体如下：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“管养公路日常养护里程数”指标，预期指标值为≥1696.13公里，指标完成值为1737.467公里，完成率为100%，分值5分，得分5分。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“公路日常养护质量合格率”指标，预期指标值为=100%，指标完成值为100%，完成率为100%，分值5分，得分5分。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“符合《公路养护技术规范》要求验收率”指标，预期指标值为=100%，指标完成值为100%，完成率为100%，分值5分，得分5分。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“保持路面清洁度”指标，预期指标值为≥95%，指标完成值为100%，完成率为100%，分值5分，得分5分。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“年度养护任务按计划开工率”指标，预期指标值为≥95%，指标完成值为100%，完成率为100%，分值5分，得分5分。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“年度养护任务按计划完成率”指标，预期指标值为≥95%，指标完成值为100%，完成率为100%，分值5分，得分5分。</w:t>
      </w:r>
    </w:p>
    <w:p w14:paraId="19A56B2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41BF4DD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项目效益类指标由1个二级指标和1个三级指标构成，权重分20分，实际得分20分。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“管养公路保畅通行率”指标，预期指标值为≥95%，指标完成值为100%，完成率为100%，分值20分，得分20分。</w:t>
      </w:r>
    </w:p>
    <w:p w14:paraId="024AECF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（五）满意度指标完成情况分析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项目满意度指标由1个二级指标和1个三级指标构成，权重分10分，实际得分10分。具体如下：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“司乘人员满意度”指标，预期指标值为≥85%，指标完成值为85%，完成率为100%，分值10分，得分10分。</w:t>
      </w:r>
    </w:p>
    <w:p w14:paraId="2D533D42">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5D71DEE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五、主要经验及做法、存在的问题及原因分析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经过自评，该项目按照财政部设定的绩效目标较好完成，未出现偏离情况。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阿克苏公路事业发展中心聚焦主责主业，紧紧围绕“旅游兴疆”发展战略，聚力攻坚，培育示范品牌；守正创新，推动交旅融合，强化责任担当，加快构建新质生产力，以智慧公路建设为目标，全力以赴推进公路事业高质量发展。主要经验及做法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1、有力推进公路数字化基础设施建设，实现数智赋能智慧交通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充分发挥无人机技术运用，开展自然灾害风险隐患分析研判，库车养护所利用无人机，对国道217线高边坡进行日常养护巡查，特别是在地形复杂或危险的区域，无人机可以快速覆盖大面积区域，重点对崩塌风险点，水毁风险点，泥石流风险点、沉陷风险点进行重点监测，提高巡查效率和安全性。不断提升公路养护管理数字化智能化水平，提升“布控球”“对讲机”的使用与管理，通过综合调度中心视频查看方式对所属养护所道路巡查情况、养护作业区布设情况、监测设备启用情况、施工现场安全作业情况等进行实时调度，利用高端云台加强对重点道路、桥梁监测，为科学决策提供关键支撑。根据中心下达的《关于公路轻量化检测与养护业务管理服务工作的通知 新交公养护〔2025〕197号》安排，配备我中心一套设备，完成国省干线公路轻量化检测与养护业务管理服务项目，由交科院检测技术（北京）有限公司服务，已在库车养护所安装完成，库车养护所正在利用APP采集巡查路线桩号，做好正式巡查的准备工作，实现巡查数据的直传、直显，达成 “巡查—审核—派单—评估” 的高效闭环管理成果。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快交旅融合纵深发展。聚焦服务自治区交旅融合发展战略，积极发展路衍旅游经济，探索打造干线公路交旅融合品牌。2023年我中心创建4段示范路共计146公里、2024年重点在2条国道创建示范路77公里，在此基础上，2025年持续加码，投入50万元重点推进G217线、G580线共125公里养护示范路建设，当前部分路段已完成功能与景观双提升：G217线K1020-K1055段：完成宣传标语设置及1123平方米彩色路面铺设，增强道路辨识度与旅游氛围感；G580线K310-K364+804段：完成停车区4000平方米绿化、1处便民取水点增设、300平方米停车场扩建，同步平整500平方米观景平台、增设6000平方米草方格，全面完善旅游服务配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积极履行行业监管和厅委托工作职责。一是切实发挥行业监管职能，实行月度巡查、季度抽查、日常服务指导的监管体系，促进运营单位管理水平提升。对巡检发现的问题及时下发整改并督促落实整改完成情况，截</w:t>
      </w:r>
      <w:r>
        <w:rPr>
          <w:rStyle w:val="18"/>
          <w:rFonts w:hint="eastAsia" w:ascii="楷体" w:hAnsi="楷体" w:eastAsia="楷体"/>
          <w:spacing w:val="-4"/>
          <w:sz w:val="32"/>
          <w:szCs w:val="32"/>
          <w:lang w:eastAsia="zh-CN"/>
        </w:rPr>
        <w:t>至</w:t>
      </w:r>
      <w:bookmarkStart w:id="0" w:name="_GoBack"/>
      <w:bookmarkEnd w:id="0"/>
      <w:r>
        <w:rPr>
          <w:rStyle w:val="18"/>
          <w:rFonts w:hint="eastAsia" w:ascii="楷体" w:hAnsi="楷体" w:eastAsia="楷体"/>
          <w:spacing w:val="-4"/>
          <w:sz w:val="32"/>
          <w:szCs w:val="32"/>
        </w:rPr>
        <w:t>目前，经营性收费公路检查问题211条,未整改8条，下发整改通知单7份。二是依法履职，建立行政许可事项线上线下双轨并行受理机制，优化办理流程，规范行政许可行为，已对37项提交的涉路施工事项资料完整性、真实性进行了审核，并对其中22项涉路施工技术方案进行了核对。并指导中心所辖养护所对现场进行了核查，完成了现场核查工作22项，并向交投集团阿克苏分公司发出了征询建议意见的函件12份，指导6个养护所向涉路施工事项所在区域内公安交警部门发去征询建议、意见函22份，回复22份。完成电力部门架设电力线跨越方案征询意见建议4份，新疆生产建设兵团第一师交通运输局、阿克苏人民政府水利主管部分函询涉路施工意见建议2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路况水平需进一步提高。我中心管养大部分公路路龄较长，处于超期服役阶段，各类路面各类病害凸显、路况水平加速衰变，要继续保持和提升公路路况水平，公路养护科学决策能力、养护队伍专业化上仍存在一定差距。受养护费用的限制，养护工作局限在补坑槽、填裂缝等保持路况的基本养护水平，路况提升并不明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养护智能化水平有待提升。各养护所技术力量薄弱，养护决策尚未完全实现科学化，虽然技术状况评定等工作已实现自动化检测全覆盖，但养护策略的制定大部分仍依靠人工、经验等，策略制定和养护方案的选取受技术人员水平影响极大。养护手段单一，养护日常工作不够专业、先进，机械化、智能化水平不高，大部分养护工作仍采用人工方式进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公路服务功能需进一步强化。当前公众对公路交通的要求越来越高，单纯的“畅通”已经远远无法满足需求，保持国省干线公路安全的公路出行环境、良好的路域环境、较好的路面路况通行能力、完善的公路服务功能，才能与人民群众日益增长的出行环境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创新思路不足。管理手段较为单一，激励机制简单，没能充分调动职工积极性。要充分发掘养护职工的力量，推广应用公路养护“四新技术”，持续开展发明创新工作，尤其是要利用我中心的废旧沥青回收利用等方面的优势，打造工作亮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对预算资金使用缺乏前瞻性。各养护所处于被动状态，通常下达计划后才开始实施，部分养护所处于等靠状态，对全年公路养护重点任务目标不明，未能充分适应现在的财政制度，尤其是由养护所实施的招投标或政府采购活动，前期工作准备不足导致进度滞后，费用支付慢等。</w:t>
      </w:r>
    </w:p>
    <w:p w14:paraId="19B9D5B6">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700CFE99">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六、有关建议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加大预防性养护投入，积极践行“预防为主、防治结合”的全寿命周期养护理念，及时有效地改善公路及其内部结构和外部的病害隐患与不利条件，延缓使用功能下降，延长公路使用寿命。做到“未病先养、有病早治”。重点解决次差路的改造，逐步消除存量次差路段，突出规模效应和质量效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以问题为导向，着重盯住重点项目。针对年初下达项目预算，党委班子应高度重视，按期召开预算执行情况推进会，对执行率滞后的项目要组织相关科室分析原因，推进工作，严格落实预算执行主体责任，及时梳理项目实际支付情况，跟办执行进度较低项目的进展工作，要求各业务科室、各养护所对未规划项目的资金提早进行合理安排，制定时间节点，按期达到执行率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开展调研工作，查找堵点难点痛点问题中心党委班子带队，组织财务审计科、养护管理科、设备管理科等业务科室对养护所开展业务指导，做到早规划、早沟通，尽早提出执行方案和措施，从而推动资金的合理配置。对各单位目前执行率停滞不前、各类项目招投标、政府采购活动开展效果较差等问题进行充分的调研，并逐一解决，确保资金可以按进度支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持续加强财政政策学习和政府采购云平台实操培训。根据政策更新和平台功能升级情况，每年集中业务人员参加政采云平台技术人员的授课，每半年邀请法律顾问组织集中培训。确保预算执行符合法律法规的要求，保证预算执行的准确性和及时性，避免因政策理解偏差导致的违规行为发生。</w:t>
      </w:r>
    </w:p>
    <w:p w14:paraId="2BEE970B">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55E04E7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无其他说明内容。</w:t>
      </w:r>
    </w:p>
    <w:p w14:paraId="2A6A7743">
      <w:pPr>
        <w:spacing w:line="540" w:lineRule="exact"/>
        <w:ind w:firstLine="567"/>
        <w:rPr>
          <w:rStyle w:val="18"/>
          <w:rFonts w:ascii="仿宋" w:hAnsi="仿宋" w:eastAsia="仿宋"/>
          <w:b w:val="0"/>
          <w:spacing w:val="-4"/>
          <w:sz w:val="32"/>
          <w:szCs w:val="32"/>
        </w:rPr>
      </w:pPr>
    </w:p>
    <w:p w14:paraId="4BA300A0">
      <w:pPr>
        <w:spacing w:line="540" w:lineRule="exact"/>
        <w:ind w:firstLine="567"/>
        <w:rPr>
          <w:rStyle w:val="18"/>
          <w:rFonts w:ascii="仿宋" w:hAnsi="仿宋" w:eastAsia="仿宋"/>
          <w:b w:val="0"/>
          <w:spacing w:val="-4"/>
          <w:sz w:val="32"/>
          <w:szCs w:val="32"/>
        </w:rPr>
      </w:pPr>
    </w:p>
    <w:p w14:paraId="10FBDACC">
      <w:pPr>
        <w:spacing w:line="540" w:lineRule="exact"/>
        <w:ind w:firstLine="567"/>
        <w:rPr>
          <w:rStyle w:val="18"/>
          <w:rFonts w:ascii="仿宋" w:hAnsi="仿宋" w:eastAsia="仿宋"/>
          <w:b w:val="0"/>
          <w:spacing w:val="-4"/>
          <w:sz w:val="32"/>
          <w:szCs w:val="32"/>
        </w:rPr>
      </w:pPr>
    </w:p>
    <w:p w14:paraId="5D7CCC79">
      <w:pPr>
        <w:spacing w:line="540" w:lineRule="exact"/>
        <w:ind w:firstLine="567"/>
        <w:rPr>
          <w:rStyle w:val="18"/>
          <w:rFonts w:ascii="仿宋" w:hAnsi="仿宋" w:eastAsia="仿宋"/>
          <w:b w:val="0"/>
          <w:spacing w:val="-4"/>
          <w:sz w:val="32"/>
          <w:szCs w:val="32"/>
        </w:rPr>
      </w:pPr>
    </w:p>
    <w:p w14:paraId="4532FA74">
      <w:pPr>
        <w:spacing w:line="540" w:lineRule="exact"/>
        <w:ind w:firstLine="567"/>
        <w:rPr>
          <w:rStyle w:val="18"/>
          <w:rFonts w:ascii="仿宋" w:hAnsi="仿宋" w:eastAsia="仿宋"/>
          <w:b w:val="0"/>
          <w:spacing w:val="-4"/>
          <w:sz w:val="32"/>
          <w:szCs w:val="32"/>
        </w:rPr>
      </w:pPr>
    </w:p>
    <w:p w14:paraId="48160B82">
      <w:pPr>
        <w:spacing w:line="540" w:lineRule="exact"/>
        <w:ind w:firstLine="567"/>
        <w:rPr>
          <w:rStyle w:val="18"/>
          <w:rFonts w:ascii="仿宋" w:hAnsi="仿宋" w:eastAsia="仿宋"/>
          <w:b w:val="0"/>
          <w:spacing w:val="-4"/>
          <w:sz w:val="32"/>
          <w:szCs w:val="32"/>
        </w:rPr>
      </w:pPr>
    </w:p>
    <w:p w14:paraId="4622596A">
      <w:pPr>
        <w:spacing w:line="540" w:lineRule="exact"/>
        <w:ind w:firstLine="567"/>
        <w:rPr>
          <w:rStyle w:val="18"/>
          <w:rFonts w:ascii="仿宋" w:hAnsi="仿宋" w:eastAsia="仿宋"/>
          <w:b w:val="0"/>
          <w:spacing w:val="-4"/>
          <w:sz w:val="32"/>
          <w:szCs w:val="32"/>
        </w:rPr>
      </w:pPr>
    </w:p>
    <w:p w14:paraId="30884CF3">
      <w:pPr>
        <w:spacing w:line="540" w:lineRule="exact"/>
        <w:ind w:firstLine="567"/>
        <w:rPr>
          <w:rStyle w:val="18"/>
          <w:rFonts w:ascii="仿宋" w:hAnsi="仿宋" w:eastAsia="仿宋"/>
          <w:b w:val="0"/>
          <w:spacing w:val="-4"/>
          <w:sz w:val="32"/>
          <w:szCs w:val="32"/>
        </w:rPr>
      </w:pPr>
    </w:p>
    <w:p w14:paraId="0D3F7B7C">
      <w:pPr>
        <w:spacing w:line="540" w:lineRule="exact"/>
        <w:ind w:firstLine="567"/>
        <w:rPr>
          <w:rStyle w:val="18"/>
          <w:rFonts w:ascii="仿宋" w:hAnsi="仿宋" w:eastAsia="仿宋"/>
          <w:b w:val="0"/>
          <w:spacing w:val="-4"/>
          <w:sz w:val="32"/>
          <w:szCs w:val="32"/>
        </w:rPr>
      </w:pPr>
    </w:p>
    <w:p w14:paraId="0DADB24F">
      <w:pPr>
        <w:spacing w:line="540" w:lineRule="exact"/>
        <w:ind w:firstLine="567"/>
        <w:rPr>
          <w:rStyle w:val="18"/>
          <w:rFonts w:ascii="仿宋" w:hAnsi="仿宋" w:eastAsia="仿宋"/>
          <w:b w:val="0"/>
          <w:spacing w:val="-4"/>
          <w:sz w:val="32"/>
          <w:szCs w:val="32"/>
        </w:rPr>
      </w:pPr>
    </w:p>
    <w:p w14:paraId="274D3683">
      <w:pPr>
        <w:spacing w:line="540" w:lineRule="exact"/>
        <w:ind w:firstLine="567"/>
        <w:rPr>
          <w:rStyle w:val="18"/>
          <w:rFonts w:ascii="仿宋" w:hAnsi="仿宋" w:eastAsia="仿宋"/>
          <w:b w:val="0"/>
          <w:spacing w:val="-4"/>
          <w:sz w:val="32"/>
          <w:szCs w:val="32"/>
        </w:rPr>
      </w:pPr>
    </w:p>
    <w:p w14:paraId="685DC1D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3EA3603">
        <w:pPr>
          <w:pStyle w:val="12"/>
          <w:jc w:val="center"/>
        </w:pPr>
        <w:r>
          <w:fldChar w:fldCharType="begin"/>
        </w:r>
        <w:r>
          <w:instrText xml:space="preserve">PAGE   \* MERGEFORMAT</w:instrText>
        </w:r>
        <w:r>
          <w:fldChar w:fldCharType="separate"/>
        </w:r>
        <w:r>
          <w:rPr>
            <w:lang w:val="zh-CN"/>
          </w:rPr>
          <w:t>1</w:t>
        </w:r>
        <w:r>
          <w:fldChar w:fldCharType="end"/>
        </w:r>
      </w:p>
    </w:sdtContent>
  </w:sdt>
  <w:p w14:paraId="5F717A7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A302760"/>
    <w:rsid w:val="4C3D1751"/>
    <w:rsid w:val="4D2606A1"/>
    <w:rsid w:val="FFFD4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113</Words>
  <Characters>648</Characters>
  <Lines>5</Lines>
  <Paragraphs>1</Paragraphs>
  <TotalTime>0</TotalTime>
  <ScaleCrop>false</ScaleCrop>
  <LinksUpToDate>false</LinksUpToDate>
  <CharactersWithSpaces>760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2026-09-07T16:52:51Z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160D1BA1944349B08C48068401F6E698</vt:lpwstr>
  </property>
</Properties>
</file>