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26E74A">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3F9008F2">
      <w:pPr>
        <w:spacing w:line="540" w:lineRule="exact"/>
        <w:jc w:val="center"/>
        <w:rPr>
          <w:rFonts w:ascii="华文中宋" w:hAnsi="华文中宋" w:eastAsia="华文中宋" w:cs="宋体"/>
          <w:b/>
          <w:kern w:val="0"/>
          <w:sz w:val="52"/>
          <w:szCs w:val="52"/>
        </w:rPr>
      </w:pPr>
    </w:p>
    <w:p w14:paraId="6A94642B">
      <w:pPr>
        <w:spacing w:line="540" w:lineRule="exact"/>
        <w:jc w:val="center"/>
        <w:rPr>
          <w:rFonts w:ascii="华文中宋" w:hAnsi="华文中宋" w:eastAsia="华文中宋" w:cs="宋体"/>
          <w:b/>
          <w:kern w:val="0"/>
          <w:sz w:val="52"/>
          <w:szCs w:val="52"/>
        </w:rPr>
      </w:pPr>
    </w:p>
    <w:p w14:paraId="088D9629">
      <w:pPr>
        <w:spacing w:line="540" w:lineRule="exact"/>
        <w:jc w:val="center"/>
        <w:rPr>
          <w:rFonts w:ascii="华文中宋" w:hAnsi="华文中宋" w:eastAsia="华文中宋" w:cs="宋体"/>
          <w:b/>
          <w:kern w:val="0"/>
          <w:sz w:val="52"/>
          <w:szCs w:val="52"/>
        </w:rPr>
      </w:pPr>
    </w:p>
    <w:p w14:paraId="526E3479">
      <w:pPr>
        <w:spacing w:line="540" w:lineRule="exact"/>
        <w:jc w:val="center"/>
        <w:rPr>
          <w:rFonts w:ascii="华文中宋" w:hAnsi="华文中宋" w:eastAsia="华文中宋" w:cs="宋体"/>
          <w:b/>
          <w:kern w:val="0"/>
          <w:sz w:val="52"/>
          <w:szCs w:val="52"/>
        </w:rPr>
      </w:pPr>
    </w:p>
    <w:p w14:paraId="4FD244E3">
      <w:pPr>
        <w:spacing w:line="540" w:lineRule="exact"/>
        <w:jc w:val="center"/>
        <w:rPr>
          <w:rFonts w:ascii="华文中宋" w:hAnsi="华文中宋" w:eastAsia="华文中宋" w:cs="宋体"/>
          <w:b/>
          <w:kern w:val="0"/>
          <w:sz w:val="52"/>
          <w:szCs w:val="52"/>
        </w:rPr>
      </w:pPr>
    </w:p>
    <w:p w14:paraId="2BC33806">
      <w:pPr>
        <w:spacing w:line="540" w:lineRule="exact"/>
        <w:jc w:val="center"/>
        <w:rPr>
          <w:rFonts w:ascii="华文中宋" w:hAnsi="华文中宋" w:eastAsia="华文中宋" w:cs="宋体"/>
          <w:b/>
          <w:kern w:val="0"/>
          <w:sz w:val="52"/>
          <w:szCs w:val="52"/>
        </w:rPr>
      </w:pPr>
    </w:p>
    <w:p w14:paraId="171CE06A">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14:paraId="41F6AB8F">
      <w:pPr>
        <w:spacing w:line="540" w:lineRule="exact"/>
        <w:jc w:val="center"/>
        <w:rPr>
          <w:rFonts w:ascii="华文中宋" w:hAnsi="华文中宋" w:eastAsia="华文中宋" w:cs="宋体"/>
          <w:b/>
          <w:kern w:val="0"/>
          <w:sz w:val="52"/>
          <w:szCs w:val="52"/>
        </w:rPr>
      </w:pPr>
    </w:p>
    <w:p w14:paraId="70322B94">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14:paraId="350AD686">
      <w:pPr>
        <w:spacing w:line="540" w:lineRule="exact"/>
        <w:jc w:val="center"/>
        <w:rPr>
          <w:rFonts w:hAnsi="宋体" w:eastAsia="仿宋_GB2312" w:cs="宋体"/>
          <w:kern w:val="0"/>
          <w:sz w:val="30"/>
          <w:szCs w:val="30"/>
        </w:rPr>
      </w:pPr>
    </w:p>
    <w:p w14:paraId="3725F177">
      <w:pPr>
        <w:spacing w:line="540" w:lineRule="exact"/>
        <w:jc w:val="both"/>
        <w:rPr>
          <w:rFonts w:hAnsi="宋体" w:eastAsia="仿宋_GB2312" w:cs="宋体"/>
          <w:kern w:val="0"/>
          <w:sz w:val="30"/>
          <w:szCs w:val="30"/>
        </w:rPr>
      </w:pPr>
    </w:p>
    <w:p w14:paraId="4FB1C1CD">
      <w:pPr>
        <w:spacing w:line="540" w:lineRule="exact"/>
        <w:jc w:val="center"/>
        <w:rPr>
          <w:rFonts w:hAnsi="宋体" w:eastAsia="仿宋_GB2312" w:cs="宋体"/>
          <w:kern w:val="0"/>
          <w:sz w:val="30"/>
          <w:szCs w:val="30"/>
        </w:rPr>
      </w:pPr>
    </w:p>
    <w:p w14:paraId="7631A24C">
      <w:pPr>
        <w:spacing w:line="540" w:lineRule="exact"/>
        <w:jc w:val="center"/>
        <w:rPr>
          <w:rFonts w:hAnsi="宋体" w:eastAsia="仿宋_GB2312" w:cs="宋体"/>
          <w:kern w:val="0"/>
          <w:sz w:val="30"/>
          <w:szCs w:val="30"/>
        </w:rPr>
      </w:pPr>
    </w:p>
    <w:p w14:paraId="7E77E92B">
      <w:pPr>
        <w:spacing w:line="540" w:lineRule="exact"/>
        <w:jc w:val="center"/>
        <w:rPr>
          <w:rFonts w:hAnsi="宋体" w:eastAsia="仿宋_GB2312" w:cs="宋体"/>
          <w:kern w:val="0"/>
          <w:sz w:val="30"/>
          <w:szCs w:val="30"/>
        </w:rPr>
      </w:pPr>
    </w:p>
    <w:p w14:paraId="07930509">
      <w:pPr>
        <w:spacing w:line="540" w:lineRule="exact"/>
        <w:rPr>
          <w:rFonts w:hAnsi="宋体" w:eastAsia="仿宋_GB2312" w:cs="宋体"/>
          <w:kern w:val="0"/>
          <w:sz w:val="30"/>
          <w:szCs w:val="30"/>
        </w:rPr>
      </w:pPr>
    </w:p>
    <w:p w14:paraId="7951EF20">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35780977">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公路运营管理</w:t>
      </w:r>
    </w:p>
    <w:p w14:paraId="5BE9CE79">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阿勒泰公路管理局</w:t>
      </w:r>
    </w:p>
    <w:p w14:paraId="029ED0A2">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阿勒泰公路管理局</w:t>
      </w:r>
    </w:p>
    <w:p w14:paraId="5A5B65C1">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肖鲁生</w:t>
      </w:r>
    </w:p>
    <w:p w14:paraId="23E03480">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2026年03月16日</w:t>
      </w:r>
    </w:p>
    <w:p w14:paraId="2512E026">
      <w:pPr>
        <w:spacing w:line="700" w:lineRule="exact"/>
        <w:ind w:firstLine="708" w:firstLineChars="236"/>
        <w:jc w:val="left"/>
        <w:rPr>
          <w:rFonts w:hAnsi="宋体" w:eastAsia="仿宋_GB2312" w:cs="宋体"/>
          <w:kern w:val="0"/>
          <w:sz w:val="30"/>
          <w:szCs w:val="30"/>
        </w:rPr>
      </w:pPr>
    </w:p>
    <w:p w14:paraId="0E239DA2">
      <w:pPr>
        <w:spacing w:line="540" w:lineRule="exact"/>
        <w:rPr>
          <w:rStyle w:val="18"/>
          <w:rFonts w:ascii="黑体" w:hAnsi="黑体" w:eastAsia="黑体"/>
          <w:b w:val="0"/>
          <w:spacing w:val="-4"/>
          <w:sz w:val="32"/>
          <w:szCs w:val="32"/>
        </w:rPr>
      </w:pPr>
    </w:p>
    <w:p w14:paraId="111F8466">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5D4C508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14:paraId="2F521DB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国公路养护管理进入高质量发展新阶段《“十四五”公路养护管理发展纲要》明确提出要推动公路养护管理向规范化、精细化、智慧化转型，注重设施数字化、养护专业化、管理现代化、运行高效化、服务优质化，全面提升公路养护管理水平，满足人民群众美好出行新期待，发挥公路在加快建设交通强国中的主力军作用。同时，交通运输部关于推进公路数字化转型、加快智慧公路建设的相关要求，进一步明确了要推动公路建设、管理、养护、运行、服务全流程数字化转型，提升公路运行效能和服务水平。在此行业背景下，阿勒泰公路事业发展中心的公路养护运营管理工作面临着更高的标准和更严的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2.项目实施主体</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阿勒泰公路事业发展中心下设8个养护所、6个收费站、4个服务区、6个停车区、24个养护站（道班）。考核里程2302km，共计21条线路，其中：5条国道10条省道6条专用线。</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本项目资金专项用于阿勒泰公路事业发展中心所属各收费站、隧道的机电运行维护及智慧建设等核心环节，全面支撑公路运营管理规范化、精细化、智慧化开展，具体涵盖收费公路机电系统运行与维护、计重秤台定期标定、吐尔洪收费站称重设备改造等工作，通过各项费用精准投入，保障收费公路运营管理各项工作有序、高效落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开展以下工作，且各项工作均取得显著实施效果：全面提升公路服务保障水平。对中心下辖6个收费站、1处隧道常态化开展收费公路机电系统全流程运行监测与维护，及时排查处置设备故障，确保全线收费系统、监控系统、隧道配套机电设施等稳定运行、通畅高效，保障公路通行效率。定期开展收费站计重秤台专业标定，确保计量精准、收费规范；全方位确保各收费站日常运营有序、稳定开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4.资金投入和使用情况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（1）项目资金安排落实、总投入等情况分析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公路日常养护项目预算安排总额为1501.18万元，其中财政资金1501.18万元，其他资金0万元，2025年实际收到预算资金1501.18万元，预算资金到位率为100%。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（2）项目资金实际使用情况分析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本项目实际支付资金1501.18万元，预算执行率100%。项目资金主要用于支付交通量调查费31.2万元、交通战备专项费20万元、应急救援演练17万元、计重秤台定期标定10.68万元、收费公路机电系统运行与维护569.64万元等。</w:t>
      </w:r>
    </w:p>
    <w:p w14:paraId="2D0F388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14:paraId="05497109">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总体目标为以习近平新时代中国特色社会主义思想为指导，深入贯彻落实交通强国建设要求，围绕“安全、畅通、高效、优质、智慧”核心导向，全面优化公路养护运营管理全链条工作，推动管理模式向规范化、精细化、智慧化转型。实现收费站、隧道运营规范有序，应急处置能力全面提升，智慧管理水平显著增强，行业监管效能持续优化，全面满足公众出行和区域发展的多层次、高品质交通需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对项目进行评价，在5月底及8月底两个节点执行率均达到财政要求，在执行过程中按照时间要求对预算进行分解，每月进行执行率跟踪，对每月未达到执行率情况</w:t>
      </w:r>
      <w:bookmarkStart w:id="0" w:name="_GoBack"/>
      <w:bookmarkEnd w:id="0"/>
      <w:r>
        <w:rPr>
          <w:rStyle w:val="18"/>
          <w:rFonts w:hint="eastAsia" w:ascii="楷体" w:hAnsi="楷体" w:eastAsia="楷体"/>
          <w:spacing w:val="-4"/>
          <w:sz w:val="32"/>
          <w:szCs w:val="32"/>
        </w:rPr>
        <w:t>进行分析，及时提升预算执行率，确保在5月及8月达到执行率要求。</w:t>
      </w:r>
    </w:p>
    <w:p w14:paraId="5E146A7C">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14:paraId="7B4E9C32">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5EC05BB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开展本次部门绩效评价工作，全面了解该项目预算编制的合理性、资金使用的合规性、项目管理的规范性、项目目标的实现情况、服务对象的满意度等，从中总结经验及教训，促进项目成果转化和应用，为今后类似项目的长效管理，提供可行性参考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2.绩效评价对象和范围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此次我单位根据《项目支出绩效评价管理办法》（财预〔2020〕10号）文件文件要求对2025年度我单位实施的公路日常养护项目开展部门绩效评价，项目总金额1501.18万元。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14:paraId="32CE336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14:paraId="5BD7C3E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机电运行维护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根据以上原则，绩效评价应遵循如下要求：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（1）在数据采集时，采取客观数据，根据日常机电设备维护和预算执行报表进行统计，以保证各项指标的真实性。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（2）保证评价结果的真实性、公正性，提高评价报告的公信力。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（3）绩效评价报告应当简明扼要，除了对绩效评价的过程、结果描述外，还应总结经验，指出问题，并就共性问题提出可操作性改进建议。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我单位根据项目的实施资料研读及前期调研，结合项目的实际开展情况，将项目的指标体系进行了调整和完善，最终形成了项目绩效评价指标体系。评价指标体系严格按照《项目支出绩效评价管理办法》（财预〔2020〕10号）文件要求设置，指标体系设置一级指标共6个，包括产出指标、成本指标、效益指标、满意度指标四类指标；主要围绕资金使用、项目管理、资源配置等方面，客观分析项目的产出和效果，从而考察项目预算定额标准的合理性，进而提出完善意见。整个评价框架构成体现从投入、过程到产出、效果和影响的绩效逻辑路径。具体指标分类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一级指标为：决策、过程、产出、成本、效益、满意度。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二级指标为：项目立项、绩效目标、资金投入、资金管理、组织实施、数量指标、质量指标、时效指标、经济成本指标、社会效益、满意度指标。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三级指标为：立项依据充分性、立项程序规范性、绩效目标合理性、绩效指标明确性、预算编制科学性、资金分配合理性、资金到位率、预算执行率、资金使用合规性、管理制度健全性、制度执行有效性、完成公路、桥梁、隧道应急演练次数、公路段房、道班房建设、经营性公路监管覆盖率、收费公路机电系统正常运转率、公路运营项目按计划完成率、公路运营管理预算成本控制率、管养公路保畅通行率、司乘人员满意度。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指标体系为评分所用，综合评价表中各指标的权重由该项目绩效评价小组根据绩效评价原理和评价需求，在调研基础上依据指标的重要性制定形成，我单位已将项目绩效评价指标体系模板上传到系统中。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三级指标分析环节：总体采用比较法，同时辅以文献法、成本效益法、因素分析法以及公众评判法，根据不同三级指标类型进行逐项分析。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（1）定量指标分析环节：主要采用比较法，对比三级指标预期指标值和三级指标截止评价日的完成情况，综合分析绩效目标实现程度。详细评价方法的应用如下: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①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②属于“是”或“否”判断的单一评判定量指标：比较法，符合要求的得满分，不符合要求的不得分或者扣相应的分数。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③满意度指标：主要采用比较法，据满意度问卷统计情况计算完成比率与预期指标值对比，达成满意度预期目标的，得满分；未完成指标值的，按照完成值与预期指标值的比例记分；满意度小于 60%不得分。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定性指标分析环节：主要采用公众评判法，通过问卷及抽样调查等方式评价本项目实施后社会公众对于其实施效果的满意程度，将调研结果按照《项目支出绩效评价管理办法》（财预〔2020〕10号）《关于印发&lt;自治区项目支出绩效目标设置指引&gt;的通知）（新财预〔2022〔42号）文要求分为基本达成目标、部分实现目标、实现目标程度较低三档，分别按照该指标对应分值区间100%-80%（含）、80%-60%（含）、60%-0%合理确定分值，详细评价方法的应用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①立项依据充分性：比较法和文献法，查找法律法规政策以及规划，对比实际执行内容和政策支持内容是否匹配，分析立项依据充分性。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立项程序规范性：比较法和文献法，查找相关项目设立的政策和文件要求，对比分析实际执行程序是否按照政策及文件要求执行，分析立项程序的规范性。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②绩效目标合理性：比较法和因素分析法，对比分析年初编制项目支出绩效目标表与项目内容的相关性、资金的匹配性等。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绩效指标明确性：比较法和因素分析法，比较分析年初编制项目支出绩效目标表是否符合双七原则，是否可衡量。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③预算编制科学性：专项资金分配采取因素分析法，应当主要选取自然、经济、社会、绩效等客观因素，并在资金管理办法中明确相应的权重或标准。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资金分配合理性：因素分析法，综合分析资金的分配依据是否充分，分配金额是否与项目实施单位需求金额一致。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④资金到位率：按照完成比率得分，并分析实际完成值和预期指标值之间的差距和原因。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预算执行率：按照完成比率得分，并分析实际完成值和预期指标值之间的差距和原因。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⑤资金使用合规性：比较法、文献法和因素分析法等，通过实地调研，检查项目资金使用情况，对比专项资金管理办法要求，分析资金使用合规性。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⑥管理制度健全性：文献法、比较法和因素分析法等，通过查阅项目实施单位提供的财务和业务管理制度，将已建立的制度与现行的法律法规和政策要求进行对比，分析项目制度的合法性、合规性、完整性。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制度执行有效性：比较法，结合项目实际实施过程性文件，根据已建设的财务管理制度和项目管理制度综合分析制度执行的有效性。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⑦其他定性指标：公众评判法，通过问卷及抽样调查等方式评价本项目实施后社会公众对于其实施效果的满意程度。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绩效评价标准通常包括计划标准、行业标准、历史标准等。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14:paraId="68F6EFA6">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1F620DFB">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1、成立绩效评价小组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本次评价成立了由专业绩效评价工作人员组成的评价工作组，充分按工作要求考虑人员结构、业务能力、利益关系回避等情况，并同步建立项目人员联系清单，成员如下：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①评价组组长：王世刚，职责：党委副书记、主任，工作内容：负责中心绩效评价工作总体安排、统筹协调、指导推进；</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②评价组成员：杨金书，职责：中心财务审计科科长，工作内容：负责中心绩效监控工作数据汇总，分析及上报并督促预算执行进度；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③评价组成员：肖鲁生，职责：中心监控科科长，工作内容：主要负责专项费用绩效评价，工作内容：起草和修改绩效考评方案报自评领导工作组会议讨论通过，实施执行绩效自评方案；牵头组织并实施年度绩效自评，根据组长指示，对考评结果进行复核，完成绩效评价工作组安排的其他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2、完善评价指标体系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评价指标体系是评价实施方案的核心。绩效评价小组通过对项目绩效目标已有指标进行分析研究，根据项目的资料研读及前期调研，结合项目的实际开展情况，严格按照《项目支出绩效评价管理办法》（财预〔2020〕10号）文件要求设置完善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3、核查资金使用情况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项目评价组根据项目实施过程及指标评价需求判断，针对项目进行核查，重点关注资金使用是否存在截留、挪用财政专项资金的情况；资金支付审批情况是否合规；资金支付所需材料是否齐备；是否存在擅自改变、扩大支出范围的情况；是否存在擅自提高支出标准、虚列项目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4、采集评价基础数据及相关资料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全面收集项目相关资料和基础数据，完成绩效评价内容和评价指标体系的评价印证资料。整理该项目主要采用查阅相关文件政策、会计凭证等资料，采集项目资金支出情况、项目完成情况及项目成本构成等数据资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5、形成综合评价意见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14:paraId="7AA87F80">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14:paraId="40ED48F2">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此次绩效评价通过组论证的评价指标体系及评分标准，采用的方法为比较法，对公路运营管理（机电维护费）项目绩效进行客观评价。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得出综合评价结论如下：公路运营管理项目共设置绩效目标19（三级指标）个，实现目标19个，完成率100%。其中项目决策指标共设置6个，满分指标6个，得分率100%；项目过程指标共设置5个，满分指标5个，得分率100%；项目产出指标共设置5个，满分指标5个，得分率100%；效益指标共设置1个，满分指标1个，得分率100%；成本指标共设置1个，满分指标1个，得分率100%；项目满意度指标共设置1个，满分指标1个，得分率100%。该项目组织比较规范，目标完成情况良好，基本指标实现了预期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最终评分结果：总分为100分，其中：项目决策20分、过程管理20分、项目产出20分、项目成本10分、项目效益20分、满意度指标10分。绩效评级为“优”。（优：90-100分，包含90分；良：80-90分，包含80分；中：60-80分，包含60分；差：60分以下）</w:t>
      </w:r>
    </w:p>
    <w:p w14:paraId="108AA54E">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14:paraId="5FA0D0B8">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14:paraId="253585C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项目决策由3个二级指标和6个三级指标构成，权重分20分，实际得分20分。具体如下：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项目立项分值5分，得分5分。其中：立项依据充分性分值2分，得分2分；立项程序规范性分值3分，得分3分。该项目符合国家法律法规、国民经济发展规划和相关政策，符合行业发展规划和政策要求，符合《公路工程质量检验评定标准 第二册 机电工程》（JTG F80/2）、新疆维吾尔自治区实施《中华人民共和国公路法》办法、《新疆维吾尔自治区收费公路管理办法》（新疆维吾尔自治区人民政府令第184号，2011年施行）、《新疆维吾尔自治区收费公路联网收费管理办法（试行）》、《关于进一步做好称重检测设施检定工作的通知》（新交公收费【2022】14号）、《网络安全法》、《公共安全视频图像信息系统管理条例》、《网络安全等级保护条例》、《网络安全等级保护基本要求》（GB/T 22239-2019）《交通运输行业网络安全等级保护定级指南》、《交通运输关键信息基础设施安全保护条例》、《交通运输行业网络安全等级保护测评规范》等相关制度要求，与阿勒泰公路事业发展中心部门职责范围相符，属于部门履职所需，属于公共财政支持范围，符合中央、地方事权支出责任划分原则，项目没有重复立项，立项依据充分；该项目按照规定的程序申请设立，审批文件、材料符合相关要求，事前已经过必要的可行性研究、专家论证、风险评估、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设立目标时阿勒泰公路事业发展中心各责任科室对全中心管养收费站、隧道、机电系统、各运行系统等进行科学分析，制定专项工作计划，按照运营管理全年重点工作任务和预期达到的目标，参考历年费用下达情况，设定各项产出目标，并经阿勒泰公路事业发展中心绩效评价工作组审定，确定各项绩效目标。项目绩效目标明确，将项目绩效目标细化分解为具体的绩效指标，通过清晰、可衡量的指标值予以体现，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测算标准按照《收费公路机电系统运行维护费用预算标准》、《关于印发收费站配置标准的通知》（新交综〔2005〕313号）等相关文件要求，测算公路运营管理费用。</w:t>
      </w:r>
    </w:p>
    <w:p w14:paraId="7A2C4F1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14:paraId="03EBD626">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项目过程管理类指标由2个二级指标和5个三级指标构成，权重分20分，实际得分20分。具体如下：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资金管理分值12分，得分12分。其中资金到位率分值4分，得分4分；预算执行率分值4分，得分4分；资金使用合规性分值4分，得分4分。该项目预算资金1810.15万元，到位资金1810.15万元，实际支出资金1801.15万元，资金到位率100.00%，预算执行率100%。该项目资金使用合规，符合国家财经法规和财务管理制度以及有关专项资金管理办法的规定，资金支付均具有完整的审批程序和手续，与预算批复内容相符，不存在截留、挤占、挪用、虚列支出等情况。下达资金全部用于公路运营管理工作，并经专题会、党委会研究，下达至各责任科室，费用分解合理、有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组织实施分值8分，得分8分。其中管理制度健全性分值4分，得分4分；制度执行有效性分值4分，得分4分。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公路运营管理项目实施按照《公路工程质量检验评定标准 第二册 机电工程》（JTG F80/2）、新疆维吾尔自治区实施《中华人民共和国公路法》办法、《新疆维吾尔自治区收费公路管理办法》（新疆维吾尔自治区人民政府令第184号，2011年施行）、《新疆维吾尔自治区收费公路联网收费管理办法（试行）》、《关于进一步做好称重检测设施检定工作的通知》（新交公收费【2022】14号）、《网络安全法》、《公共安全视频图像信息系统管理条例》、《网络安全等级保护条例》《网络安全等级保护基本要求》（GB/T 22239-2019）《交通运输行业网络安全等级保护定级指南》、《交通运输关键信息基础设施安全保护条例》、《交通运输行业网络安全等级保护测评规范》等相关制度实施，实施过程中，阿勒泰公路事业发展中心围绕提升公路服务能力，优化出行条件等内容，从服务设施、路域环境等方面提高要求、提高标准，发挥示范引领作用。</w:t>
      </w:r>
    </w:p>
    <w:p w14:paraId="43ED7B9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14:paraId="7F6571DA">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项目产出类指标由3个二级指标和5个三级指标构成，权重分20分，实际得分20分。具体如下：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①数量指标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完成公路、桥梁、隧道应急演练次数”指标，预期指标值为≥1次，指标完成值为1次，完成率为100%，分值2分，得分2分；“公路段房、道班房建设”指标，预期指标值为=100％，指标完成值100％，完成率为100%，分值1分，得分1分；“经营性公路监管覆盖率”指标，预期指标值为=100％，指标完成值100％，完成率为100%，分值1分，得分1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②质量指标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“收费公路机电系统正常运转率”指标，预期指标值为≥95%，指标完成值为100%，完成率为100%，分值8分，得分8分。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③时效指标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“公路运营项目按计划完成率”指标，预期指标值为≥95%，指标完成值为100％，完成率为100%，分值8分，得分8分。</w:t>
      </w:r>
    </w:p>
    <w:p w14:paraId="59EF617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14:paraId="4E1C9A70">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项目效益类指标由1个二级指标和1个三级指标构成，权重分20分，实际得分20分。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①社会效益指标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“管养公路保畅通行率”指标，预期指标值为≥95%，指标完成值为100%，完成率为100%，分值20分，得分20分。</w:t>
      </w:r>
    </w:p>
    <w:p w14:paraId="2238B3FF">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项目满意度指标由1个二级指标和1个三级指标构成，权重分10分，实际得分10分。具体如下：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“司乘人员满意度”指标，预期指标值为≥85%，指标完成值为90%，完成率为100%，分值10分，得分10分。</w:t>
      </w:r>
    </w:p>
    <w:p w14:paraId="6AEF929D">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14:paraId="2156A236">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经过自评，该项目按照财政部设定的绩效目标较好完成，未出现偏离情况。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（一）主要经验及做法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针对公路运营管理预算执行率提升工作，阿勒泰公路事业发展中心党委高度重视、统筹部署，多措并举推动各项工作落地见效，积累了贴合辖区公路运营管理实际的经验做法。一是强化统筹引领，压实主体责任，中心党委多次召开预算执行情况推进会，深入分析预算执行滞后原因，精准研判堵点难点，明确工作方向和推进路径，严格落实各科室、各养护所、收费站预算执行主体责任，形成“党委统筹、科室协同、层层落实”的工作格局。二是细化过程管控，紧盯进度节点，建立预算执行动态监测机制，及时梳理项目实际支付情况，安排专人跟办执行进度较低的项目，全程跟踪推进情况、协调解决实施难题；明确阶段性进度节点，以7月30日、8月30日、9月30日为时间节点，分别设定60%、70%、80%的预算执行率目标，倒逼各责任主体加快工作进度。三是优化前期谋划，强化源头管控，督促各业务科室、各养护所、收费站提前梳理年度工作任务，对未规划项目的资金提早进行科学测算、合理安排，结合公路养护、设施维护、服务运营等核心工作需求，优化资金分配方案，提前做好招投标、政府采购等前期筹备工作的预判和规划，减少前期工作滞后对预算执行的影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预算执行进度受前期工作影响显著，公路运营管理项目中包含大量材料采购、服务外包、设施升级改造等事项，此类事项需严格按照政府采购、公开招投标等相关规定推进，前期审批、公告、评标等流程耗时较长，导致部分项目无法及时启动实施，影响前期预算执行进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部分指标支付周期制约执行效率，部分项目指标为按季度支付，受支付周期限制，前期资金拨付进度较慢，无法及时匹配项目实施进度，进一步影响了整体预算执行的推进速度。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针对上述存在的问题，提出以下改进建议：一是强化统筹协调，健全管理体系，明确各部门职责分工，建立常态化协同联动机制，加强各环节工作衔接，打破部门壁垒，实现运营管理全链条、一体化管控，提升管理效率。二是优化前期工作流程，缩短筹备周期，提前谋划年度项目，对需开展招投标、政府采购的项目，提前梳理相关需求，做好前期调研、方案编制、审批报备等工作，合理安排时间节点，优化招投标、采购流程，简化不必要的审批环节，加快前期工作推进速度，为项目实施和预算执行争取时间。三是优化指标支付管理，提升执行灵活性，积极与财政部门沟通对接，结合公路运营管理项目的实施特点，对按季度支付的指标，争取优化支付周期或采用分阶段支付方式，根据项目实际推进进度及时拨付资金，确保资金支付与项目实施同步，提升预算执行效率。</w:t>
      </w:r>
    </w:p>
    <w:p w14:paraId="1D4BDFDA">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14:paraId="793F406E">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14:paraId="44691F34">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14:paraId="63E67CCA">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14:paraId="660B9E85">
      <w:pPr>
        <w:spacing w:line="540" w:lineRule="exact"/>
        <w:ind w:firstLine="567"/>
        <w:rPr>
          <w:rStyle w:val="18"/>
          <w:rFonts w:ascii="仿宋" w:hAnsi="仿宋" w:eastAsia="仿宋"/>
          <w:b w:val="0"/>
          <w:spacing w:val="-4"/>
          <w:sz w:val="32"/>
          <w:szCs w:val="32"/>
        </w:rPr>
      </w:pPr>
    </w:p>
    <w:p w14:paraId="667098FE">
      <w:pPr>
        <w:spacing w:line="540" w:lineRule="exact"/>
        <w:ind w:firstLine="567"/>
        <w:rPr>
          <w:rStyle w:val="18"/>
          <w:rFonts w:ascii="仿宋" w:hAnsi="仿宋" w:eastAsia="仿宋"/>
          <w:b w:val="0"/>
          <w:spacing w:val="-4"/>
          <w:sz w:val="32"/>
          <w:szCs w:val="32"/>
        </w:rPr>
      </w:pPr>
    </w:p>
    <w:p w14:paraId="3209629D">
      <w:pPr>
        <w:spacing w:line="540" w:lineRule="exact"/>
        <w:ind w:firstLine="567"/>
        <w:rPr>
          <w:rStyle w:val="18"/>
          <w:rFonts w:ascii="仿宋" w:hAnsi="仿宋" w:eastAsia="仿宋"/>
          <w:b w:val="0"/>
          <w:spacing w:val="-4"/>
          <w:sz w:val="32"/>
          <w:szCs w:val="32"/>
        </w:rPr>
      </w:pPr>
    </w:p>
    <w:p w14:paraId="5F83B34E">
      <w:pPr>
        <w:spacing w:line="540" w:lineRule="exact"/>
        <w:ind w:firstLine="567"/>
        <w:rPr>
          <w:rStyle w:val="18"/>
          <w:rFonts w:ascii="仿宋" w:hAnsi="仿宋" w:eastAsia="仿宋"/>
          <w:b w:val="0"/>
          <w:spacing w:val="-4"/>
          <w:sz w:val="32"/>
          <w:szCs w:val="32"/>
        </w:rPr>
      </w:pPr>
    </w:p>
    <w:p w14:paraId="75EF8E74">
      <w:pPr>
        <w:spacing w:line="540" w:lineRule="exact"/>
        <w:ind w:firstLine="567"/>
        <w:rPr>
          <w:rStyle w:val="18"/>
          <w:rFonts w:ascii="仿宋" w:hAnsi="仿宋" w:eastAsia="仿宋"/>
          <w:b w:val="0"/>
          <w:spacing w:val="-4"/>
          <w:sz w:val="32"/>
          <w:szCs w:val="32"/>
        </w:rPr>
      </w:pPr>
    </w:p>
    <w:p w14:paraId="32B0F566">
      <w:pPr>
        <w:spacing w:line="540" w:lineRule="exact"/>
        <w:ind w:firstLine="567"/>
        <w:rPr>
          <w:rStyle w:val="18"/>
          <w:rFonts w:ascii="仿宋" w:hAnsi="仿宋" w:eastAsia="仿宋"/>
          <w:b w:val="0"/>
          <w:spacing w:val="-4"/>
          <w:sz w:val="32"/>
          <w:szCs w:val="32"/>
        </w:rPr>
      </w:pPr>
    </w:p>
    <w:p w14:paraId="5299EDB0">
      <w:pPr>
        <w:spacing w:line="540" w:lineRule="exact"/>
        <w:ind w:firstLine="567"/>
        <w:rPr>
          <w:rStyle w:val="18"/>
          <w:rFonts w:ascii="仿宋" w:hAnsi="仿宋" w:eastAsia="仿宋"/>
          <w:b w:val="0"/>
          <w:spacing w:val="-4"/>
          <w:sz w:val="32"/>
          <w:szCs w:val="32"/>
        </w:rPr>
      </w:pPr>
    </w:p>
    <w:p w14:paraId="49E8E3F4">
      <w:pPr>
        <w:spacing w:line="540" w:lineRule="exact"/>
        <w:ind w:firstLine="567"/>
        <w:rPr>
          <w:rStyle w:val="18"/>
          <w:rFonts w:ascii="仿宋" w:hAnsi="仿宋" w:eastAsia="仿宋"/>
          <w:b w:val="0"/>
          <w:spacing w:val="-4"/>
          <w:sz w:val="32"/>
          <w:szCs w:val="32"/>
        </w:rPr>
      </w:pPr>
    </w:p>
    <w:p w14:paraId="556337CD">
      <w:pPr>
        <w:spacing w:line="540" w:lineRule="exact"/>
        <w:ind w:firstLine="567"/>
        <w:rPr>
          <w:rStyle w:val="18"/>
          <w:rFonts w:ascii="仿宋" w:hAnsi="仿宋" w:eastAsia="仿宋"/>
          <w:b w:val="0"/>
          <w:spacing w:val="-4"/>
          <w:sz w:val="32"/>
          <w:szCs w:val="32"/>
        </w:rPr>
      </w:pPr>
    </w:p>
    <w:p w14:paraId="25DC08F6">
      <w:pPr>
        <w:spacing w:line="540" w:lineRule="exact"/>
        <w:ind w:firstLine="567"/>
        <w:rPr>
          <w:rStyle w:val="18"/>
          <w:rFonts w:ascii="仿宋" w:hAnsi="仿宋" w:eastAsia="仿宋"/>
          <w:b w:val="0"/>
          <w:spacing w:val="-4"/>
          <w:sz w:val="32"/>
          <w:szCs w:val="32"/>
        </w:rPr>
      </w:pPr>
    </w:p>
    <w:p w14:paraId="233F2A7D">
      <w:pPr>
        <w:spacing w:line="540" w:lineRule="exact"/>
        <w:ind w:firstLine="567"/>
        <w:rPr>
          <w:rStyle w:val="18"/>
          <w:rFonts w:ascii="仿宋" w:hAnsi="仿宋" w:eastAsia="仿宋"/>
          <w:b w:val="0"/>
          <w:spacing w:val="-4"/>
          <w:sz w:val="32"/>
          <w:szCs w:val="32"/>
        </w:rPr>
      </w:pPr>
    </w:p>
    <w:p w14:paraId="7805A646">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国标宋体-超大字符集扩"/>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altName w:val="国标宋体-超大字符集扩"/>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书宋_GBK">
    <w:panose1 w:val="02000000000000000000"/>
    <w:charset w:val="86"/>
    <w:family w:val="auto"/>
    <w:pitch w:val="default"/>
    <w:sig w:usb0="00000001" w:usb1="0800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00000001" w:usb1="080E0800" w:usb2="00000002" w:usb3="00000000" w:csb0="00040000" w:csb1="00000000"/>
  </w:font>
  <w:font w:name="方正小标宋_GBK">
    <w:panose1 w:val="02000000000000000000"/>
    <w:charset w:val="86"/>
    <w:family w:val="script"/>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9837F4A">
        <w:pPr>
          <w:pStyle w:val="12"/>
          <w:jc w:val="center"/>
        </w:pPr>
        <w:r>
          <w:fldChar w:fldCharType="begin"/>
        </w:r>
        <w:r>
          <w:instrText xml:space="preserve">PAGE   \* MERGEFORMAT</w:instrText>
        </w:r>
        <w:r>
          <w:fldChar w:fldCharType="separate"/>
        </w:r>
        <w:r>
          <w:rPr>
            <w:lang w:val="zh-CN"/>
          </w:rPr>
          <w:t>1</w:t>
        </w:r>
        <w:r>
          <w:fldChar w:fldCharType="end"/>
        </w:r>
      </w:p>
    </w:sdtContent>
  </w:sdt>
  <w:p w14:paraId="617AFF21">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64CE2F8B"/>
    <w:rsid w:val="65EF4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21</Pages>
  <Words>113</Words>
  <Characters>648</Characters>
  <Lines>5</Lines>
  <Paragraphs>1</Paragraphs>
  <TotalTime>0</TotalTime>
  <ScaleCrop>false</ScaleCrop>
  <LinksUpToDate>false</LinksUpToDate>
  <CharactersWithSpaces>760</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2018-08-15T10:06:00Z</dcterms:created>
  <dc:creator>赵 恺（预算处）</dc:creator>
  <cp:lastModifiedBy>user</cp:lastModifiedBy>
  <cp:lastPrinted>2018-12-31T18:56:00Z</cp:lastPrinted>
  <dcterms:modified xsi:type="dcterms:W3CDTF">2026-09-07T16:50:30Z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160D1BA1944349B08C48068401F6E698</vt:lpwstr>
  </property>
</Properties>
</file>