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6D1D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319FFDC">
      <w:pPr>
        <w:spacing w:line="540" w:lineRule="exact"/>
        <w:jc w:val="center"/>
        <w:rPr>
          <w:rFonts w:ascii="华文中宋" w:hAnsi="华文中宋" w:eastAsia="华文中宋" w:cs="宋体"/>
          <w:b/>
          <w:kern w:val="0"/>
          <w:sz w:val="52"/>
          <w:szCs w:val="52"/>
        </w:rPr>
      </w:pPr>
    </w:p>
    <w:p w14:paraId="619E763F">
      <w:pPr>
        <w:spacing w:line="540" w:lineRule="exact"/>
        <w:jc w:val="center"/>
        <w:rPr>
          <w:rFonts w:ascii="华文中宋" w:hAnsi="华文中宋" w:eastAsia="华文中宋" w:cs="宋体"/>
          <w:b/>
          <w:kern w:val="0"/>
          <w:sz w:val="52"/>
          <w:szCs w:val="52"/>
        </w:rPr>
      </w:pPr>
    </w:p>
    <w:p w14:paraId="1A7C6DDB">
      <w:pPr>
        <w:spacing w:line="540" w:lineRule="exact"/>
        <w:jc w:val="center"/>
        <w:rPr>
          <w:rFonts w:ascii="华文中宋" w:hAnsi="华文中宋" w:eastAsia="华文中宋" w:cs="宋体"/>
          <w:b/>
          <w:kern w:val="0"/>
          <w:sz w:val="52"/>
          <w:szCs w:val="52"/>
        </w:rPr>
      </w:pPr>
    </w:p>
    <w:p w14:paraId="268170BE">
      <w:pPr>
        <w:spacing w:line="540" w:lineRule="exact"/>
        <w:jc w:val="center"/>
        <w:rPr>
          <w:rFonts w:ascii="华文中宋" w:hAnsi="华文中宋" w:eastAsia="华文中宋" w:cs="宋体"/>
          <w:b/>
          <w:kern w:val="0"/>
          <w:sz w:val="52"/>
          <w:szCs w:val="52"/>
        </w:rPr>
      </w:pPr>
    </w:p>
    <w:p w14:paraId="0AE3AA1C">
      <w:pPr>
        <w:spacing w:line="540" w:lineRule="exact"/>
        <w:jc w:val="center"/>
        <w:rPr>
          <w:rFonts w:ascii="华文中宋" w:hAnsi="华文中宋" w:eastAsia="华文中宋" w:cs="宋体"/>
          <w:b/>
          <w:kern w:val="0"/>
          <w:sz w:val="52"/>
          <w:szCs w:val="52"/>
        </w:rPr>
      </w:pPr>
    </w:p>
    <w:p w14:paraId="5DAEE3FD">
      <w:pPr>
        <w:spacing w:line="540" w:lineRule="exact"/>
        <w:jc w:val="center"/>
        <w:rPr>
          <w:rFonts w:ascii="华文中宋" w:hAnsi="华文中宋" w:eastAsia="华文中宋" w:cs="宋体"/>
          <w:b/>
          <w:kern w:val="0"/>
          <w:sz w:val="52"/>
          <w:szCs w:val="52"/>
        </w:rPr>
      </w:pPr>
    </w:p>
    <w:p w14:paraId="14F6AFB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9F3E503">
      <w:pPr>
        <w:spacing w:line="540" w:lineRule="exact"/>
        <w:jc w:val="center"/>
        <w:rPr>
          <w:rFonts w:ascii="华文中宋" w:hAnsi="华文中宋" w:eastAsia="华文中宋" w:cs="宋体"/>
          <w:b/>
          <w:kern w:val="0"/>
          <w:sz w:val="52"/>
          <w:szCs w:val="52"/>
        </w:rPr>
      </w:pPr>
    </w:p>
    <w:p w14:paraId="547BF7A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0A37D261">
      <w:pPr>
        <w:spacing w:line="540" w:lineRule="exact"/>
        <w:jc w:val="center"/>
        <w:rPr>
          <w:rFonts w:hAnsi="宋体" w:eastAsia="仿宋_GB2312" w:cs="宋体"/>
          <w:kern w:val="0"/>
          <w:sz w:val="30"/>
          <w:szCs w:val="30"/>
        </w:rPr>
      </w:pPr>
    </w:p>
    <w:p w14:paraId="2E0EB631">
      <w:pPr>
        <w:spacing w:line="540" w:lineRule="exact"/>
        <w:jc w:val="center"/>
        <w:rPr>
          <w:rFonts w:hAnsi="宋体" w:eastAsia="仿宋_GB2312" w:cs="宋体"/>
          <w:kern w:val="0"/>
          <w:sz w:val="30"/>
          <w:szCs w:val="30"/>
        </w:rPr>
      </w:pPr>
    </w:p>
    <w:p w14:paraId="66053230">
      <w:pPr>
        <w:spacing w:line="540" w:lineRule="exact"/>
        <w:jc w:val="center"/>
        <w:rPr>
          <w:rFonts w:ascii="方正小标宋_GBK" w:hAnsi="宋体" w:eastAsia="方正小标宋_GBK" w:cs="宋体"/>
          <w:kern w:val="0"/>
          <w:sz w:val="36"/>
          <w:szCs w:val="36"/>
        </w:rPr>
      </w:pPr>
    </w:p>
    <w:p w14:paraId="0F13E4DA">
      <w:pPr>
        <w:spacing w:line="540" w:lineRule="exact"/>
        <w:jc w:val="center"/>
        <w:rPr>
          <w:rFonts w:hAnsi="宋体" w:eastAsia="仿宋_GB2312" w:cs="宋体"/>
          <w:kern w:val="0"/>
          <w:sz w:val="30"/>
          <w:szCs w:val="30"/>
        </w:rPr>
      </w:pPr>
    </w:p>
    <w:p w14:paraId="1974AD3A">
      <w:pPr>
        <w:spacing w:line="540" w:lineRule="exact"/>
        <w:jc w:val="center"/>
        <w:rPr>
          <w:rFonts w:hAnsi="宋体" w:eastAsia="仿宋_GB2312" w:cs="宋体"/>
          <w:kern w:val="0"/>
          <w:sz w:val="30"/>
          <w:szCs w:val="30"/>
        </w:rPr>
      </w:pPr>
    </w:p>
    <w:p w14:paraId="55E167E3">
      <w:pPr>
        <w:spacing w:line="540" w:lineRule="exact"/>
        <w:jc w:val="center"/>
        <w:rPr>
          <w:rFonts w:hAnsi="宋体" w:eastAsia="仿宋_GB2312" w:cs="宋体"/>
          <w:kern w:val="0"/>
          <w:sz w:val="30"/>
          <w:szCs w:val="30"/>
        </w:rPr>
      </w:pPr>
    </w:p>
    <w:p w14:paraId="5562BF20">
      <w:pPr>
        <w:spacing w:line="540" w:lineRule="exact"/>
        <w:rPr>
          <w:rFonts w:hAnsi="宋体" w:eastAsia="仿宋_GB2312" w:cs="宋体"/>
          <w:kern w:val="0"/>
          <w:sz w:val="30"/>
          <w:szCs w:val="30"/>
        </w:rPr>
      </w:pPr>
    </w:p>
    <w:p w14:paraId="30A9A2D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0D0FB0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公路日常养护</w:t>
      </w:r>
    </w:p>
    <w:p w14:paraId="19FE22D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伊犁公路管理局</w:t>
      </w:r>
    </w:p>
    <w:p w14:paraId="5DB117A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伊犁公路管理局</w:t>
      </w:r>
    </w:p>
    <w:p w14:paraId="44B2EDD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杨有伟</w:t>
      </w:r>
    </w:p>
    <w:p w14:paraId="54DEEEE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2026年03月26日</w:t>
      </w:r>
    </w:p>
    <w:p w14:paraId="387C725D">
      <w:pPr>
        <w:spacing w:line="700" w:lineRule="exact"/>
        <w:ind w:firstLine="708" w:firstLineChars="236"/>
        <w:jc w:val="left"/>
        <w:rPr>
          <w:rFonts w:hAnsi="宋体" w:eastAsia="仿宋_GB2312" w:cs="宋体"/>
          <w:kern w:val="0"/>
          <w:sz w:val="30"/>
          <w:szCs w:val="30"/>
        </w:rPr>
      </w:pPr>
    </w:p>
    <w:p w14:paraId="6FB5C3D1">
      <w:pPr>
        <w:spacing w:line="540" w:lineRule="exact"/>
        <w:rPr>
          <w:rStyle w:val="18"/>
          <w:rFonts w:ascii="黑体" w:hAnsi="黑体" w:eastAsia="黑体"/>
          <w:b w:val="0"/>
          <w:spacing w:val="-4"/>
          <w:sz w:val="32"/>
          <w:szCs w:val="32"/>
        </w:rPr>
      </w:pPr>
    </w:p>
    <w:p w14:paraId="69C798D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604AD4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07BE1DA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伊犁公路事业发展中心2025年管养国省干线及专用公路总里程1462.464公里，其中：6条国道956.697公里、5条省道370.546公里、10条专用公路135.221公里。管养隧道3座/7468延米，桥梁305座/15617.92延米，涵洞2588道。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根据伊犁公路事业发展中心养护管理工作实际，认真梳理2025年公路日常养护重点工作，根据“十四五”国评工作要求，成立伊犁公路事业发展中心迎接“十四五”国家公路网技术状况监测工作领导小组，强化组织领导，认真履行日常养护工作主体责任，加强与相关单位沟通协调，形成工作合力，确保各项工作稳步推进。二是召开迎国评再动员、再部署会议，树立“一盘棋”思想，集中精力，攻坚克难，全面做好各项准备工作，强力推进日常养护工程项目进度，切实做好路面病害处治工作，集中开展重点桥梁整治提升，修复交安设施，全力做好养护管理评价资料整理工作。三是抓好落实，对照国评细则逐项排查，针对存在的薄弱环节，细化整改方案，明确时间节点和责任人，确保整改工作有序推进，顺利完成国评大考，为区域经济发展和群众出行提供更加优质的公路服务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主体伊犁公路事业发展中心隶属于自治区公路事业发展中心管理的相当县（处）级事业单位。主要职能为负责编报本辖区公路日常养护年度计划和预算，具体管理上级拨付的公路日常养护专项资金；牢固树立全寿命周期养护理念，扎实做好全季、全域养护，充分利用好自动化检测、人工普查、科学决策反馈结果，针对当前道路病害高发特点，做好公路养护“四个精细化”，扎实推进日常养护基础性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认真落实养护任务，加快资金执行。区中心2025年下达伊犁公路事业发展中心养护预算费用预算安排规模：2348.00万元，资金分配情况：普通公路日常养护2079万元，其中公路、桥隧养护1682万元、避险车道养护费70万元、风雪保交通费327万元；收费公路日常养护269万元，其中公路、桥隧养护229万元、风雪保交通费40万元。</w:t>
      </w:r>
      <w:r>
        <w:rPr>
          <w:rStyle w:val="18"/>
          <w:rFonts w:hint="eastAsia" w:ascii="楷体" w:hAnsi="楷体" w:eastAsia="楷体"/>
          <w:spacing w:val="-4"/>
          <w:sz w:val="32"/>
          <w:szCs w:val="32"/>
          <w:lang w:eastAsia="zh-CN"/>
        </w:rPr>
        <w:t>截至</w:t>
      </w:r>
      <w:r>
        <w:rPr>
          <w:rStyle w:val="18"/>
          <w:rFonts w:hint="eastAsia" w:ascii="楷体" w:hAnsi="楷体" w:eastAsia="楷体"/>
          <w:spacing w:val="-4"/>
          <w:sz w:val="32"/>
          <w:szCs w:val="32"/>
        </w:rPr>
        <w:t>目前养护预算费用已执行100%。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加强路面精细化养护工作。定期开展日常保洁，对路面进行湿式清扫，洒水抑尘常态化保洁，今年以来共计清扫路面7063.74万平方米、清理杂物3621.02万米、清扫停车带62.43万平方米。同时，对影响行车安全的坑槽，重度车辙、沉陷、拥包及时进行处治，扎实提升公路技术状况水平。截至目前，累计完成处治坑槽2.66万平方米、沉陷0.51万平方米、波浪拥包0.18万平方米、路面封层4.7万平方米、处治沥青路面单条裂缝35.45万米，其中：灌缝3.15万米、贴缝32.3万米；处治网状裂缝4.93万平方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三是加强路基养护精细化。扎实开展路肩、边坡的日常保养及护坡道的整修，保证路基各部分不损坏不变形，确保行车视野整洁舒适。</w:t>
      </w:r>
      <w:bookmarkStart w:id="0" w:name="_GoBack"/>
      <w:bookmarkEnd w:id="0"/>
      <w:r>
        <w:rPr>
          <w:rStyle w:val="18"/>
          <w:rFonts w:hint="eastAsia" w:ascii="楷体" w:hAnsi="楷体" w:eastAsia="楷体"/>
          <w:spacing w:val="-4"/>
          <w:sz w:val="32"/>
          <w:szCs w:val="32"/>
          <w:lang w:eastAsia="zh-CN"/>
        </w:rPr>
        <w:t>截至</w:t>
      </w:r>
      <w:r>
        <w:rPr>
          <w:rStyle w:val="18"/>
          <w:rFonts w:hint="eastAsia" w:ascii="楷体" w:hAnsi="楷体" w:eastAsia="楷体"/>
          <w:spacing w:val="-4"/>
          <w:sz w:val="32"/>
          <w:szCs w:val="32"/>
        </w:rPr>
        <w:t>目前已完成路肩、边坡、中央分隔带打草1471.04万平方米、挡墙泄水孔排堵1.28万米、反向路肩3.92万米、处治亏坡0.06万立方米、维修水毁冲沟0.65万平方米、维修边沟、拦水带0.31万米、整修路肩5.27万平方米、整修边坡64.24万平方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四是加强交安设施养护精细化，及时对污染的示警桩、标志牌、波形护栏等沿线设施进行清洗，快速修复损坏、缺失的交安设施，确保设施完好、醒目，确保公路安全畅通、设施功能完好。</w:t>
      </w:r>
      <w:r>
        <w:rPr>
          <w:rStyle w:val="18"/>
          <w:rFonts w:hint="eastAsia" w:ascii="楷体" w:hAnsi="楷体" w:eastAsia="楷体"/>
          <w:spacing w:val="-4"/>
          <w:sz w:val="32"/>
          <w:szCs w:val="32"/>
          <w:lang w:eastAsia="zh-CN"/>
        </w:rPr>
        <w:t>截至</w:t>
      </w:r>
      <w:r>
        <w:rPr>
          <w:rStyle w:val="18"/>
          <w:rFonts w:hint="eastAsia" w:ascii="楷体" w:hAnsi="楷体" w:eastAsia="楷体"/>
          <w:spacing w:val="-4"/>
          <w:sz w:val="32"/>
          <w:szCs w:val="32"/>
        </w:rPr>
        <w:t>目前已完成清洗单柱标志牌0.43万套、清洗柱式轮廓标1.44万根、清洗里程碑百米牌0.44万块、清洗波形护栏206.88万米、清洗示警桩1.34万根、补充百米号0.71万块、粉刷防撞墩0.33万平方米、粉刷标志牌立柱0.67万套、校正标志牌0.11万块、校正示警桩700根、组合隔离墩刷新0.71万平方米、规范波形护栏高度1.19万米、缆索护栏除锈0.26万平方米、维修、新增波形护栏0.41万米、维修轮廓标0.6万根、施画标线5.58万平方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是精细化管理，扎实推进桥隧涵养护工作完成清理桥面230.33万平方米、清理泄水孔5.54万个、清除伸缩缝杂物7.11万米、桥梁下疏通砂土0.19万立方米、桥梁栏杆刷漆0.12万平方米、混凝土防腐950.4平方米、安装防抛网794.9平方米、安装桥面伸缩缝214米、完成隧道灌封修补剂处理裂缝682米，防火层维修4600平方米、更换检查井盖22个、更换反光轮廓标50个。</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及实施情况本项目财政资金2348.00万元，下达至10个养护所，用于辖区管养普通国省干线公路的运营管理工作。按照《关于下达2025年收费公路支出计划的通知》（新交公综计【2025】4号），《关于下达2025年公路养护计划的通知》（新交公综计【2025】5号）等文件的要求，结合我中心实际情况，主要为普通公路日常养护（公路、桥隧养护、避险车道养护、风雪保交通）和收费公路日常养护（公路、桥隧养护、风雪保交通）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（1）项目资金安排落实、总投入等情况分析公路日常养护项目预算安排总额为2348.00万元，其中财政资金2348.00万元，其他资金0万元，2025年实际收到预算资金2348.00万元，预算资金到位率为100%。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项目资金实际使用情况分析本项目实际支付资金2348.00万元，预算执行率100%。项目资金主要用于支付公路日常养护：2348.00万元，资金分配情况：普通公路日常养护2079万元，其中公路、桥隧养护1682万元、避险车道养护费70万元、风雪保交通费327万元；收费公路日常养护269万元，其中公路、桥隧养护229万元、风雪保交通费40万元。</w:t>
      </w:r>
    </w:p>
    <w:p w14:paraId="3F88B73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0394130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根据《公路养护工程管理办法》、《公路养护技术标准》等要求，以 “优化优良路、稳定中等路，提升次差路” 为目标，建立规范科学的管理体系与流程，科学制定养护策略和养护目标，对全区国省干线公路开展日常养护和公路轻微损坏的维修，使管养公路经常保持完好状态，按期完成 2025 年干线公路小修养护各项指标，保障 1450km 普通国省干线公路安全畅通，为社会公众提供公益出行服务。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伊犁局预算绩效管理制度》，结合项目实施单位的规章制度以及财务相关资料，对项目进行评价，通过在5月底、8月底两个节点监控项目执行情况，提升预算执行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（1）2025年5月底执行情况较好，根据公路日常养护工作的实际情况和辖区气候情况，每月都能够正常开展养护作业任务，都能够按2025年公路养护计划开展各类日常养护项目工程。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采取的措施：对工程类的项目，加快合同审核流程和材料到场验收，尽快办理资金支付。5月底日常养护项目预算执行率48.18%、总体完成率44.98%。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2025年8月底执行情况较好，日常养护评价工作中出现的新问题和重要事项，能够按期完成实地评价，上报评价结果，车巡过程中发现路容路貌的存在问题，以整改通知单形式反馈受评单位；8月底日常养护项目预算执行率80.70%、总体完成率74.69%。</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提升措施：每月对所有实施的项目进行跟踪管理，加强监督和管理，确保资金在预算内执行。</w:t>
      </w:r>
    </w:p>
    <w:p w14:paraId="5173AF2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1A808A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086AB0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的目的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的对象和范围此次我单位根据《财政支出绩效评价管理暂行办法》（财预〔2020〕10号）文件要求对2025年度我单位实施的公路日常养护项目开展部门绩效评价，项目总金额2348.00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1FB3FF8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0469D5E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原则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与问卷调查相结合的形式，以保证各项指标的真实性。（2）保证评价结果的真实性、公正性，提高评价报告的公信力。（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（1）定量指标分析环节：主要采用比较法，对比三级指标预期指标值和三级指标</w:t>
      </w:r>
      <w:r>
        <w:rPr>
          <w:rStyle w:val="18"/>
          <w:rFonts w:hint="eastAsia" w:ascii="楷体" w:hAnsi="楷体" w:eastAsia="楷体"/>
          <w:spacing w:val="-4"/>
          <w:sz w:val="32"/>
          <w:szCs w:val="32"/>
          <w:lang w:eastAsia="zh-CN"/>
        </w:rPr>
        <w:t>截至</w:t>
      </w:r>
      <w:r>
        <w:rPr>
          <w:rStyle w:val="18"/>
          <w:rFonts w:hint="eastAsia" w:ascii="楷体" w:hAnsi="楷体" w:eastAsia="楷体"/>
          <w:spacing w:val="-4"/>
          <w:sz w:val="32"/>
          <w:szCs w:val="32"/>
        </w:rPr>
        <w:t>评价日的完成情况，综合分析绩效目标实现程度。详细评价方法的应用如下：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②绩效目 标合理性：比较法和因素分析法，对比分析年初编制项目支出绩效目标表与项目内容的相关性、资金的匹配性等。 绩效指标明确性：比较法和因素分析法，比较分析年初编制项目支出绩效目标表是否符合双七原则，是否可衡量。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资金分配合理性：因素分析法，综合分析资金的分配依据是否充分，分配金额是否与项目实施单位需求金额一致。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④资金到位率：按照完成比率得分，并分析实际完成值和预期指标值之间的差距和原因。预算执行率：按照完成比率得分，并分析实际完成值和预期指标值之间的差距和原因。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⑤资金使用合规性：比较法、文献法和因素分析法等，通过实地调研，检查项目资金使用情况，对比专项资金管理办法要求，分析资金使用合规性。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⑥管理制度健全性：文献法、比较法和因素分析法等，通过查阅项目实施单位提供的财务和业务管理制度，将已建立的制度与现行的法律法规和政策要求进行对比，分析项目制度的合法性、合规性、完整性。制度执行有效性：比较法，结合项目实际实施过程性文件，根据已建设的财务管理制度和项目管理制度综合分析制度执行的有效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14:paraId="71383E8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F90A6C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本次评价成立了评价工作组，成员如下：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评价组组长：杨有伟，职责：严格执行伊犁公路事业发展中心的总体工作计划，统筹做好年度各项公路日常业务工作计划，并组织实施。工作内容：统筹安排公路日常养护项目进行和调整，在项目进行过程中遇到较大影响因素或者任务调整时，及时对接有关部门，部署工作任务，为公路日常养护项目的实施提供有力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组成员：李艳，职责：根据自治区公路事业发展中心下达的各项计划，统筹考虑、及时分解下达本单位年度计划和调整计划，针对年度项目支出预算，逐项梳理预算资金执行进度、存在的问题，制定加快预算执行的有效措施。工作内容：检查中心机关各相关科室及属各单位内、外业公路日常养护项目开展实施情况，结合养护年度目标，对资金执行情况和绩效目标发生偏差的项目和单位进行针对性研究，确切制定纠偏措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组成员：赛达克木，职责：组织、协调机关各相关科室及中心属各养护所开展巡检、公路、桥隧涵、风雪保交通等工作。工作内容：检查中心属各养护所开展养护巡查责任落实，加大公路巡查力度，持续强化隐患巡查排险，对路面坑槽、沉陷等影响行车安全的病害进行细致排查，逐项闭环整治，对辖内桥梁、涵洞、边沟、易发生水毁路段的开展实施情况，结合年度目标，审核任务完成情况和资金执行情况是否符合相关各项要求。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48DDC59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3A27718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次绩效评价通过组论证的评价指标体系及评分标准，采用的方法为比较法，对公路运营管理项目绩效进行客观评价，最终评分结果：总分为100分，其中：项目决策20分、过程管理20分、项目产出30分、项目效益20分、满意度指标10分。绩效评级为“优”。</w:t>
      </w:r>
    </w:p>
    <w:p w14:paraId="1C3F335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0C2A03F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06090BB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关于下达2025年收费公路支出计划的通知》（新交公综计【2025】4号），《关于下达2025年公路养护计划的通知》（新交公综计【2025】5号）等文件，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绩效目标分值10分，得分10分。其中：绩效目标合理性分值5分，得分5分；绩效指标明确性分值5分，得分5分。本单位通过坚持“目标精准、计划精准、管理精准”基本工作方法，采取明确路况目标、精准实施路段、细化处置策略、严格计划执行管理、优化考核机制等措施，针对该项目设置了绩效目标，提升突发事件应急处置能力，加强应对突发事件能力，增强公路巡道的力度，配备机械设备，保障一线职工安全养护作业以及为公众出行做好服务，提高公路安全通行能力，同时按计划要求完成了公路病害处治、桥隧维修、风雪保交通等。与预算确定的项目投资额2,348.00万元相匹配。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本单位按本单位严格规范计划管理程序，强化计划项目的严肃性，加强计划执行管理工作，充分发挥年度计划资金投资效益，能够按期开展公路日常养护工作，按期完成公路路面坑槽、沉陷，桥隧维修，公路路域环境整治等任务工作。加大路容路貌保持力度，延缓公路衰减，为公众出行提供安全的通行环境，保障全区普通国省干线公路安全畅通。</w:t>
      </w:r>
    </w:p>
    <w:p w14:paraId="75EAB2D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12D3BE7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分，实际得分20分。具体如下：资金管理分值12分，得分12分。其中资金到位率分值4分，得分4分；预算执行率分值4分，得分4分；资金使用合规性分值4分，得分4分。该项目预算资金2348.00万元，到位资金2348.00万元，实际支出资金2348.00万元，资金到位率100.00%，预算执行率100.00%。资金使用合规，符合国家财经法规和财务管理制度以及有关专项资金管理办法的规定，资金支付均具有完整的审批程序和手续，与预算批复内容相符，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分值8分，得分8分。其中管理制度健全性分值4分，得分4分；制度执行有效性分值4分，得分4分。该项业务管理和财务管理制度健全，且合法、合规、完整，制度执行遵守相关法律法规和相关管理规定，项目调整及支出调整手续完备，项目合同书、验收报告、技术鉴定等资料齐全并及时归档，通过管理人员年初、年末及不定期的检查工作，对我中心各养护所的公路日常养护工作进行评价，对存在不足的养护所给予指导、帮助，对好的做法进行经验总结及推广，并进行通报，不断促进公路日常养护工作更好地发展。</w:t>
      </w:r>
    </w:p>
    <w:p w14:paraId="21B213C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3BC2523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项目产出类指标由3个二级指标和5个三级指标构成，权重分30分，实际得分30分。具体如下：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公路日常养护覆盖率指标，预期指标值为=1450公里，指标完成值为1462.464公里，完成率为100%，分值10分，得分10分。2025年我中心能够按区中心文件要求高质量完成全年日常养护的评价工作。按期完成公路、桥隧、沿线设施、除雪保通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日常养护质量合格率预期指标值为=100%，指标完成值为=100%，完成率为100%，分值2.5分，得分2.5分。日常养护符合《公路养护技术标准》要求验收率预期指标值为=100%，指标完成值为=100%，完成率为100%，分值2.5分，得分2.5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公路日常养护按计划完成率指标，预期指标值为≥95%，指标完成值为=95%，完成率为100%，分值5分，得分5分。一是完成了公路、桥隧及附属设施各项技术指标监测，保障公路交通出行服务水平。二是完成了对公路、桥隧、沿线设施维修工作。三是能够保证自治区公路事业发展中心辖区范围内公路正常运营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④成本指标：公路运营管理预算成本控制率，预期指标值为≤100%，指标完成值为=100%，完成率为100%，分值10分，得分10分。按期完成了公路日常养护工作，完成率100%。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2025年伊犁公路事业发展中心公日常养护的各项任务均按时限完成，预算2348.00万元，公路运营管理工作指标均已完成，完成率100%。</w:t>
      </w:r>
    </w:p>
    <w:p w14:paraId="31ED623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7C4010F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20分，实际得分20分。①社会效益：管养公路保畅通行率指标，预期指标值为≥95%，指标完成值为95%，完成率为100%，分值20分，得分20分。本单位能够按期开展公路日常养护工作，按期完成各项养护任务工作。加大路容路貌保持力度，延缓公路衰减，为公众出行提供安全的通行环境，保障全区普通国省干线公路安全畅通。</w:t>
      </w:r>
    </w:p>
    <w:p w14:paraId="4861939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满意度指标由1个二级指标和1个三级指标构成，权重分10分，实际得分8分。具体如下：“司乘人员满意度”指标，预期指标值为≥85%，指标完成值为=85%，完成率为100%，分值10分，得分10分。通过发放问卷及与司乘人员座谈，普遍反映公路出行条件明显改善，能够为公众出行提供安全的通行环境，人民群众获得感增强，逐步实现“畅安舒美洁”的目标。扣分原因为春融路况初期收到过个别司乘人员的投诉路况有坑槽，我局都已在时限内整改、答复。</w:t>
      </w:r>
    </w:p>
    <w:p w14:paraId="63629D1C">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34926F50">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经过自评，该项目按照财政部设定的绩效目标较好完成，未出现偏离情况。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为适应公路养护高质量发展的新形势和推进伊犁公路中心公路日常养护工作精细化开展，结合工作实际对近三年日常养护清单进行了梳理和规范，完成编制《伊犁公路事业发展中心公路日常养护2025年清单单价编制指导手册》，为编制年度养护计划奠定了基础。二是结合管辖路段每年3月左右才能开展公路技术状况调查且山区公路较多的实际情况与上半年养护资金执行任务很重的压力。2025年提前谋划，依据上一年路面自动化检测数据、桥隧定检数据，1月完成伊犁公路中心2025年度日常养护估算计划的下达，4月完成2025年度日常养护计划下达。</w:t>
      </w:r>
      <w:r>
        <w:rPr>
          <w:rStyle w:val="18"/>
          <w:rFonts w:hint="eastAsia" w:ascii="楷体" w:hAnsi="楷体" w:eastAsia="楷体"/>
          <w:spacing w:val="-4"/>
          <w:sz w:val="32"/>
          <w:szCs w:val="32"/>
          <w:lang w:eastAsia="zh-CN"/>
        </w:rPr>
        <w:t>截至</w:t>
      </w:r>
      <w:r>
        <w:rPr>
          <w:rStyle w:val="18"/>
          <w:rFonts w:hint="eastAsia" w:ascii="楷体" w:hAnsi="楷体" w:eastAsia="楷体"/>
          <w:spacing w:val="-4"/>
          <w:sz w:val="32"/>
          <w:szCs w:val="32"/>
        </w:rPr>
        <w:t>6月底市场化项目已全部已完工。三是树立全中心“一盘棋”的大局意识，集中精力，以决战决胜姿态顺利完成2025年度“十四五”国家公路网技术状况监测大考。四是2025年使用新型BMH冷拌冷铺沥青混合料处治路面坑槽2500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问题：一是预算绩效目标编制参差不齐，未能实现规范化编制绩效目标贯穿预算编制、执行监控、结果评价全过程。绩效监控与绩效评价环节重点还停留在关注执行率等预算执行上，对预算资金使用的建设效益、社会效益、经济效应等评价结果实用性较差。二是绩效评价手段较为落后。财政项目绩效评价的手段已无法适应财政对绩效评价工作的期待，导致耗费人工太多精力且很难起到辅助决策的作用，因此需要结合绩效评价工作的实际要求，积极建立绩效评价工作的信息化数据库，开展有关数据信息化方面的工作。原因分析：预算绩效责任主题意识不强，导致预算绩效项目评估、目标设置等绩效工作初期不重视，后期过程管理和考核结果偏离目标。</w:t>
      </w:r>
    </w:p>
    <w:p w14:paraId="7F19755B">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2BC66570">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对项目决策的建议：要精准、科学实施项目。对预算安排与执行的建议：每月对所有实施的项目进行跟踪管理，加强监督和管理，确保资金在预算内执行。对资金管理的建议：为切实加强资金管理，规范项目资金管理使用行为，有效发挥项目资金效益，依据相关管理办法进行监督检查。做好前期谋划工作，确保项目顺利开展，有效提高执行进度，财政资金从预算编制、预算执行到报送决算都要全过程监管，要在绩效目标引领下完成。项目管理的建议：为切实加强资金管理，规范项目资金管理使用行为，有效发挥项目资金效益，依据相关管理办法进行监督检查,完成验收工作后尽快进行资金支付，提高执行率，根据实际支出情况制定切实可行的预算指标，进一步提高资金使用效率。严格落实项目前期各项工作，提高项目推进进度。大力推进应急体系建设。</w:t>
      </w:r>
    </w:p>
    <w:p w14:paraId="5AFFB77F">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26EE814D">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3DD445CF">
      <w:pPr>
        <w:spacing w:line="540" w:lineRule="exact"/>
        <w:ind w:firstLine="567"/>
        <w:rPr>
          <w:rStyle w:val="18"/>
          <w:rFonts w:ascii="仿宋" w:hAnsi="仿宋" w:eastAsia="仿宋"/>
          <w:b w:val="0"/>
          <w:spacing w:val="-4"/>
          <w:sz w:val="32"/>
          <w:szCs w:val="32"/>
        </w:rPr>
      </w:pPr>
    </w:p>
    <w:p w14:paraId="7CE48CA3">
      <w:pPr>
        <w:spacing w:line="540" w:lineRule="exact"/>
        <w:ind w:firstLine="567"/>
        <w:rPr>
          <w:rStyle w:val="18"/>
          <w:rFonts w:ascii="仿宋" w:hAnsi="仿宋" w:eastAsia="仿宋"/>
          <w:b w:val="0"/>
          <w:spacing w:val="-4"/>
          <w:sz w:val="32"/>
          <w:szCs w:val="32"/>
        </w:rPr>
      </w:pPr>
    </w:p>
    <w:p w14:paraId="422BFAE0">
      <w:pPr>
        <w:spacing w:line="540" w:lineRule="exact"/>
        <w:ind w:firstLine="567"/>
        <w:rPr>
          <w:rStyle w:val="18"/>
          <w:rFonts w:ascii="仿宋" w:hAnsi="仿宋" w:eastAsia="仿宋"/>
          <w:b w:val="0"/>
          <w:spacing w:val="-4"/>
          <w:sz w:val="32"/>
          <w:szCs w:val="32"/>
        </w:rPr>
      </w:pPr>
    </w:p>
    <w:p w14:paraId="54D383E7">
      <w:pPr>
        <w:spacing w:line="540" w:lineRule="exact"/>
        <w:ind w:firstLine="567"/>
        <w:rPr>
          <w:rStyle w:val="18"/>
          <w:rFonts w:ascii="仿宋" w:hAnsi="仿宋" w:eastAsia="仿宋"/>
          <w:b w:val="0"/>
          <w:spacing w:val="-4"/>
          <w:sz w:val="32"/>
          <w:szCs w:val="32"/>
        </w:rPr>
      </w:pPr>
    </w:p>
    <w:p w14:paraId="5C8465A1">
      <w:pPr>
        <w:spacing w:line="540" w:lineRule="exact"/>
        <w:ind w:firstLine="567"/>
        <w:rPr>
          <w:rStyle w:val="18"/>
          <w:rFonts w:ascii="仿宋" w:hAnsi="仿宋" w:eastAsia="仿宋"/>
          <w:b w:val="0"/>
          <w:spacing w:val="-4"/>
          <w:sz w:val="32"/>
          <w:szCs w:val="32"/>
        </w:rPr>
      </w:pPr>
    </w:p>
    <w:p w14:paraId="4D97B9C0">
      <w:pPr>
        <w:spacing w:line="540" w:lineRule="exact"/>
        <w:ind w:firstLine="567"/>
        <w:rPr>
          <w:rStyle w:val="18"/>
          <w:rFonts w:ascii="仿宋" w:hAnsi="仿宋" w:eastAsia="仿宋"/>
          <w:b w:val="0"/>
          <w:spacing w:val="-4"/>
          <w:sz w:val="32"/>
          <w:szCs w:val="32"/>
        </w:rPr>
      </w:pPr>
    </w:p>
    <w:p w14:paraId="51AC38C7">
      <w:pPr>
        <w:spacing w:line="540" w:lineRule="exact"/>
        <w:ind w:firstLine="567"/>
        <w:rPr>
          <w:rStyle w:val="18"/>
          <w:rFonts w:ascii="仿宋" w:hAnsi="仿宋" w:eastAsia="仿宋"/>
          <w:b w:val="0"/>
          <w:spacing w:val="-4"/>
          <w:sz w:val="32"/>
          <w:szCs w:val="32"/>
        </w:rPr>
      </w:pPr>
    </w:p>
    <w:p w14:paraId="5EC0B1C9">
      <w:pPr>
        <w:spacing w:line="540" w:lineRule="exact"/>
        <w:ind w:firstLine="567"/>
        <w:rPr>
          <w:rStyle w:val="18"/>
          <w:rFonts w:ascii="仿宋" w:hAnsi="仿宋" w:eastAsia="仿宋"/>
          <w:b w:val="0"/>
          <w:spacing w:val="-4"/>
          <w:sz w:val="32"/>
          <w:szCs w:val="32"/>
        </w:rPr>
      </w:pPr>
    </w:p>
    <w:p w14:paraId="5D999D0D">
      <w:pPr>
        <w:spacing w:line="540" w:lineRule="exact"/>
        <w:ind w:firstLine="567"/>
        <w:rPr>
          <w:rStyle w:val="18"/>
          <w:rFonts w:ascii="仿宋" w:hAnsi="仿宋" w:eastAsia="仿宋"/>
          <w:b w:val="0"/>
          <w:spacing w:val="-4"/>
          <w:sz w:val="32"/>
          <w:szCs w:val="32"/>
        </w:rPr>
      </w:pPr>
    </w:p>
    <w:p w14:paraId="0DC73E37">
      <w:pPr>
        <w:spacing w:line="540" w:lineRule="exact"/>
        <w:ind w:firstLine="567"/>
        <w:rPr>
          <w:rStyle w:val="18"/>
          <w:rFonts w:ascii="仿宋" w:hAnsi="仿宋" w:eastAsia="仿宋"/>
          <w:b w:val="0"/>
          <w:spacing w:val="-4"/>
          <w:sz w:val="32"/>
          <w:szCs w:val="32"/>
        </w:rPr>
      </w:pPr>
    </w:p>
    <w:p w14:paraId="04030D7E">
      <w:pPr>
        <w:spacing w:line="540" w:lineRule="exact"/>
        <w:ind w:firstLine="567"/>
        <w:rPr>
          <w:rStyle w:val="18"/>
          <w:rFonts w:ascii="仿宋" w:hAnsi="仿宋" w:eastAsia="仿宋"/>
          <w:b w:val="0"/>
          <w:spacing w:val="-4"/>
          <w:sz w:val="32"/>
          <w:szCs w:val="32"/>
        </w:rPr>
      </w:pPr>
    </w:p>
    <w:p w14:paraId="1BA9306E">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965C7B4">
        <w:pPr>
          <w:pStyle w:val="12"/>
          <w:jc w:val="center"/>
        </w:pPr>
        <w:r>
          <w:fldChar w:fldCharType="begin"/>
        </w:r>
        <w:r>
          <w:instrText xml:space="preserve">PAGE   \* MERGEFORMAT</w:instrText>
        </w:r>
        <w:r>
          <w:fldChar w:fldCharType="separate"/>
        </w:r>
        <w:r>
          <w:rPr>
            <w:lang w:val="zh-CN"/>
          </w:rPr>
          <w:t>1</w:t>
        </w:r>
        <w:r>
          <w:fldChar w:fldCharType="end"/>
        </w:r>
      </w:p>
    </w:sdtContent>
  </w:sdt>
  <w:p w14:paraId="7C3653D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FD269DE"/>
    <w:rsid w:val="4C3D1751"/>
    <w:rsid w:val="4D2606A1"/>
    <w:rsid w:val="B6F7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2026-09-07T16:56:16Z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