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自治区财政项目支出绩效自评报告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7"/>
          <w:rFonts w:hint="eastAsia" w:ascii="楷体" w:hAnsi="楷体" w:eastAsia="楷体"/>
          <w:spacing w:val="-4"/>
          <w:sz w:val="32"/>
          <w:szCs w:val="32"/>
        </w:rPr>
        <w:t>2025</w:t>
      </w:r>
      <w:r>
        <w:rPr>
          <w:rFonts w:hint="eastAsia" w:hAnsi="宋体" w:eastAsia="仿宋_GB2312" w:cs="宋体"/>
          <w:kern w:val="0"/>
          <w:sz w:val="36"/>
          <w:szCs w:val="36"/>
        </w:rPr>
        <w:t xml:space="preserve">  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ascii="方正小标宋_GBK" w:hAnsi="宋体" w:eastAsia="方正小标宋_GBK" w:cs="宋体"/>
          <w:kern w:val="0"/>
          <w:sz w:val="36"/>
          <w:szCs w:val="36"/>
        </w:rPr>
      </w:pPr>
      <w:bookmarkStart w:id="0" w:name="_GoBack"/>
      <w:bookmarkEnd w:id="0"/>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7"/>
          <w:rFonts w:hint="eastAsia" w:ascii="楷体" w:hAnsi="楷体" w:eastAsia="楷体"/>
          <w:spacing w:val="-4"/>
          <w:sz w:val="32"/>
          <w:szCs w:val="32"/>
        </w:rPr>
        <w:t>公路日常养护</w:t>
      </w:r>
    </w:p>
    <w:p>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7"/>
          <w:rFonts w:hint="eastAsia" w:ascii="楷体" w:hAnsi="楷体" w:eastAsia="楷体"/>
          <w:spacing w:val="-4"/>
          <w:sz w:val="28"/>
          <w:szCs w:val="28"/>
        </w:rPr>
        <w:t>乌鲁木齐公路管理局</w:t>
      </w:r>
    </w:p>
    <w:p>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7"/>
          <w:rFonts w:hint="eastAsia" w:ascii="楷体" w:hAnsi="楷体" w:eastAsia="楷体"/>
          <w:spacing w:val="-4"/>
          <w:sz w:val="28"/>
          <w:szCs w:val="28"/>
        </w:rPr>
        <w:t>乌鲁木齐公路管理局</w:t>
      </w:r>
    </w:p>
    <w:p>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7"/>
          <w:rFonts w:hint="eastAsia" w:ascii="楷体" w:hAnsi="楷体" w:eastAsia="楷体"/>
          <w:spacing w:val="-4"/>
          <w:sz w:val="32"/>
          <w:szCs w:val="32"/>
        </w:rPr>
        <w:t>艾来提·阿布拉</w:t>
      </w:r>
    </w:p>
    <w:p>
      <w:pPr>
        <w:spacing w:line="540" w:lineRule="exact"/>
        <w:ind w:left="273" w:firstLine="567"/>
        <w:rPr>
          <w:rStyle w:val="17"/>
          <w:rFonts w:ascii="楷体" w:hAnsi="楷体" w:eastAsia="楷体"/>
          <w:spacing w:val="-4"/>
          <w:sz w:val="32"/>
          <w:szCs w:val="32"/>
        </w:rPr>
      </w:pPr>
      <w:r>
        <w:rPr>
          <w:rFonts w:hint="eastAsia" w:hAnsi="宋体" w:eastAsia="仿宋_GB2312" w:cs="宋体"/>
          <w:kern w:val="0"/>
          <w:sz w:val="36"/>
          <w:szCs w:val="36"/>
        </w:rPr>
        <w:t>填报时间：</w:t>
      </w:r>
      <w:r>
        <w:rPr>
          <w:rStyle w:val="17"/>
          <w:rFonts w:hint="eastAsia" w:ascii="楷体" w:hAnsi="楷体" w:eastAsia="楷体"/>
          <w:spacing w:val="-4"/>
          <w:sz w:val="32"/>
          <w:szCs w:val="32"/>
        </w:rPr>
        <w:t>2026年03月13日</w:t>
      </w:r>
    </w:p>
    <w:p>
      <w:pPr>
        <w:spacing w:line="700" w:lineRule="exact"/>
        <w:ind w:firstLine="708" w:firstLineChars="236"/>
        <w:jc w:val="left"/>
        <w:rPr>
          <w:rFonts w:hAnsi="宋体" w:eastAsia="仿宋_GB2312" w:cs="宋体"/>
          <w:kern w:val="0"/>
          <w:sz w:val="30"/>
          <w:szCs w:val="30"/>
        </w:rPr>
      </w:pPr>
    </w:p>
    <w:p>
      <w:pPr>
        <w:spacing w:line="540" w:lineRule="exact"/>
        <w:rPr>
          <w:rStyle w:val="17"/>
          <w:rFonts w:ascii="黑体" w:hAnsi="黑体" w:eastAsia="黑体"/>
          <w:b w:val="0"/>
          <w:spacing w:val="-4"/>
          <w:sz w:val="32"/>
          <w:szCs w:val="32"/>
        </w:rPr>
      </w:pPr>
    </w:p>
    <w:p>
      <w:pPr>
        <w:spacing w:line="540" w:lineRule="exact"/>
        <w:ind w:firstLine="640"/>
        <w:rPr>
          <w:rStyle w:val="17"/>
          <w:rFonts w:ascii="黑体" w:hAnsi="黑体" w:eastAsia="黑体"/>
          <w:b w:val="0"/>
          <w:spacing w:val="-4"/>
          <w:sz w:val="32"/>
          <w:szCs w:val="32"/>
        </w:rPr>
      </w:pPr>
      <w:r>
        <w:rPr>
          <w:rStyle w:val="17"/>
          <w:rFonts w:hint="eastAsia" w:ascii="黑体" w:hAnsi="黑体" w:eastAsia="黑体"/>
          <w:b w:val="0"/>
          <w:spacing w:val="-4"/>
          <w:sz w:val="32"/>
          <w:szCs w:val="32"/>
        </w:rPr>
        <w:t>一、基本情况</w:t>
      </w:r>
    </w:p>
    <w:p>
      <w:pPr>
        <w:spacing w:line="540" w:lineRule="exact"/>
        <w:ind w:firstLine="567"/>
        <w:rPr>
          <w:rStyle w:val="17"/>
          <w:rFonts w:ascii="楷体" w:hAnsi="楷体" w:eastAsia="楷体"/>
          <w:spacing w:val="-4"/>
          <w:sz w:val="32"/>
          <w:szCs w:val="32"/>
        </w:rPr>
      </w:pPr>
      <w:r>
        <w:rPr>
          <w:rStyle w:val="17"/>
          <w:rFonts w:hint="eastAsia" w:ascii="楷体" w:hAnsi="楷体" w:eastAsia="楷体"/>
          <w:spacing w:val="-4"/>
          <w:sz w:val="32"/>
          <w:szCs w:val="32"/>
        </w:rPr>
        <w:t>（一）项目概况。包括项目背景、主要内容及实施情况、资金投入和使用情况等。</w:t>
      </w:r>
    </w:p>
    <w:p>
      <w:pPr>
        <w:spacing w:line="540" w:lineRule="exact"/>
        <w:ind w:firstLine="567"/>
        <w:rPr>
          <w:rStyle w:val="17"/>
          <w:rFonts w:ascii="楷体" w:hAnsi="楷体" w:eastAsia="楷体"/>
          <w:spacing w:val="-4"/>
          <w:sz w:val="32"/>
          <w:szCs w:val="32"/>
        </w:rPr>
      </w:pPr>
      <w:r>
        <w:rPr>
          <w:rStyle w:val="17"/>
          <w:rFonts w:hint="eastAsia" w:ascii="楷体" w:hAnsi="楷体" w:eastAsia="楷体"/>
          <w:spacing w:val="-4"/>
          <w:sz w:val="32"/>
          <w:szCs w:val="32"/>
        </w:rPr>
        <w:t>1.项目背景</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2025年，乌鲁木齐公路事业发展中心管养里程622.78公里，共计12条线路，其中：国道3条271.889公里，省道6条306.891公里，专用公路2条44公里。其中，一级公路49.611公里，二级公路356.641公里，三级公路119.73公里，四级公路47.668，等外公路49.13公里；辖线内有桥梁133座，全线设有涵洞1013道。按照《公路养护技术规范》要求开展公路路基、路面、桥涵、隧道、沿线设施的日常养护管理工作，并根据公路养护实际情况开展日常养护病害处治、避险车道养护、桥梁预防性养护、隧道养护等工作。为公众出行提供安全的通行环境，保障所辖普通国省干线公路安全畅通。</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2.主要内容及实施情况</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主要内容及实施情况本项目财政资金968.69万，用于辖区管养普通国省干线公路的日常养护管理工作。按照《公路养护技术规范》要求，结合我中心实际情况，按期开展公路小修养护工作，完成公路养护路况预期目标。按照规范要求做好公路调查评定工作，按时开展公路病害处治工作，加大路容路貌保持力度，延缓公路衰减，保障公路运营安全。</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3.资金投入和使用情况</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（1）项目资金安排落实、总投入等情况分析</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公路日常养护项目预算安排总额为968.69万元，其中财政资金968.69万元，其他资金0万元，2025年实际收到预算资金968.69万元，预算资金到位率为100%。</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（2）项目资金实际使用情况分析</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本项目实际支付资金968.69万元，预算执行率100%。项目资金主要用于支付公路、桥隧养护费用696万元、乌昌保洁费用70万元、避险车道费用21万元、风雪保交通费用142万元、立交区和服务区绿化费用39.69万元。</w:t>
      </w:r>
    </w:p>
    <w:p>
      <w:pPr>
        <w:spacing w:line="540" w:lineRule="exact"/>
        <w:ind w:firstLine="567" w:firstLineChars="181"/>
        <w:rPr>
          <w:rStyle w:val="17"/>
          <w:rFonts w:ascii="楷体" w:hAnsi="楷体" w:eastAsia="楷体"/>
          <w:spacing w:val="-4"/>
          <w:sz w:val="32"/>
          <w:szCs w:val="32"/>
        </w:rPr>
      </w:pPr>
      <w:r>
        <w:rPr>
          <w:rStyle w:val="17"/>
          <w:rFonts w:hint="eastAsia" w:ascii="楷体" w:hAnsi="楷体" w:eastAsia="楷体"/>
          <w:spacing w:val="-4"/>
          <w:sz w:val="32"/>
          <w:szCs w:val="32"/>
        </w:rPr>
        <w:t>（二）项目绩效目标。包括总体目标和阶段性目标。</w:t>
      </w:r>
    </w:p>
    <w:p>
      <w:pPr>
        <w:spacing w:line="540" w:lineRule="exact"/>
        <w:ind w:firstLine="567"/>
        <w:rPr>
          <w:rStyle w:val="17"/>
          <w:rFonts w:ascii="楷体" w:hAnsi="楷体" w:eastAsia="楷体"/>
          <w:spacing w:val="-4"/>
          <w:sz w:val="32"/>
          <w:szCs w:val="32"/>
        </w:rPr>
      </w:pPr>
      <w:r>
        <w:rPr>
          <w:rStyle w:val="17"/>
          <w:rFonts w:hint="eastAsia" w:ascii="楷体" w:hAnsi="楷体" w:eastAsia="楷体"/>
          <w:spacing w:val="-4"/>
          <w:sz w:val="32"/>
          <w:szCs w:val="32"/>
        </w:rPr>
        <w:t>1.总体目标</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通开展公路路基、路面、桥涵、隧道、沿线设施的小修养护管理工作，对管养路段病害进行修复及各项预防性养护。</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2.阶段性目标</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根据《预算法》、《财政支出绩效评价管理暂行办法》（财预〔2020〕10号）、《中共中央国务院关于全面实施预算绩效管理的意见》（中发〔2018〕34号）、《自治区党委自治区人民政府关于全面实施预算绩效管理的实施意见》（新党发〔2018〕30号）、《自治区财政支出绩效评价管理暂行办法》（新财预〔2018〕189号）的规定，结合项目实施单位的规章制度以及财务相关资料，对项目进行评价，通过在5月底、8月底两个节点监控项目执行情况，提升预算执行质量。</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1）2025年5月底执行情况一般，根据公路养护工作的实际情况和辖区气候情况，3月初能够开展公路技术状况评定后，虽然立即组织技术人员进行调查与评定并于3月底完成数据录入与评定工作，但是仍然只能在4月根据路况结果编制养护计划。4月底完成年度养护计划的编制、下达，月度养护计划的分解，计划批复后，所属各养护所立即开展了招投标等前期工作。</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（2）2025年8月底执行情况较好，完成路基、路面、交安设施、桥涵隧道日常维修、保洁工作，实现“路况好、路域美、服务优、畅行安、治理强”的效果。</w:t>
      </w:r>
    </w:p>
    <w:p>
      <w:pPr>
        <w:spacing w:line="540" w:lineRule="exact"/>
        <w:ind w:firstLine="640"/>
        <w:rPr>
          <w:rStyle w:val="17"/>
          <w:rFonts w:ascii="黑体" w:hAnsi="黑体" w:eastAsia="黑体"/>
          <w:b w:val="0"/>
          <w:spacing w:val="-4"/>
          <w:sz w:val="32"/>
          <w:szCs w:val="32"/>
        </w:rPr>
      </w:pPr>
      <w:r>
        <w:rPr>
          <w:rStyle w:val="17"/>
          <w:rFonts w:hint="eastAsia" w:ascii="黑体" w:hAnsi="黑体" w:eastAsia="黑体"/>
          <w:b w:val="0"/>
          <w:spacing w:val="-4"/>
          <w:sz w:val="32"/>
          <w:szCs w:val="32"/>
        </w:rPr>
        <w:t>二、</w:t>
      </w:r>
      <w:r>
        <w:rPr>
          <w:rStyle w:val="17"/>
          <w:rFonts w:hint="eastAsia"/>
          <w:spacing w:val="-4"/>
          <w:sz w:val="32"/>
          <w:szCs w:val="32"/>
        </w:rPr>
        <w:t>绩效评价工作开展情况</w:t>
      </w:r>
    </w:p>
    <w:p>
      <w:pPr>
        <w:spacing w:line="540" w:lineRule="exact"/>
        <w:ind w:firstLine="567" w:firstLineChars="181"/>
        <w:rPr>
          <w:rStyle w:val="17"/>
          <w:rFonts w:ascii="楷体" w:hAnsi="楷体" w:eastAsia="楷体"/>
          <w:spacing w:val="-4"/>
          <w:sz w:val="32"/>
          <w:szCs w:val="32"/>
        </w:rPr>
      </w:pPr>
      <w:r>
        <w:rPr>
          <w:rStyle w:val="17"/>
          <w:rFonts w:hint="eastAsia" w:ascii="楷体" w:hAnsi="楷体" w:eastAsia="楷体"/>
          <w:spacing w:val="-4"/>
          <w:sz w:val="32"/>
          <w:szCs w:val="32"/>
        </w:rPr>
        <w:t>（一）绩效评价目的、对象和范围。</w:t>
      </w:r>
    </w:p>
    <w:p>
      <w:pPr>
        <w:spacing w:line="540" w:lineRule="exact"/>
        <w:ind w:firstLine="567"/>
        <w:rPr>
          <w:rStyle w:val="17"/>
          <w:rFonts w:ascii="楷体" w:hAnsi="楷体" w:eastAsia="楷体"/>
          <w:spacing w:val="-4"/>
          <w:sz w:val="32"/>
          <w:szCs w:val="32"/>
        </w:rPr>
      </w:pPr>
      <w:r>
        <w:rPr>
          <w:rStyle w:val="17"/>
          <w:rFonts w:hint="eastAsia" w:ascii="楷体" w:hAnsi="楷体" w:eastAsia="楷体"/>
          <w:spacing w:val="-4"/>
          <w:sz w:val="32"/>
          <w:szCs w:val="32"/>
        </w:rPr>
        <w:t>1.绩效评价目的</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绩效评价的目的为全面了解该项目预算编制合理性、资金使用合规性、项目管理的规范性、项目目标的实现情况、服务对象的满意度等，通过本次部门绩效评价来总结经验和教训，促进项目成果转化和应用，为今后类似项目的长效管理，提供可行性参考建议。</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2.绩效评价对象和范围</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此次我单位根据《项目支出绩效评价管理办法》（财预〔2020〕10号）文件要求对2025年度我单位实施的公路日常养护项目开展部门绩效评价，项目总金额968.69万元。本次绩效评价主要围绕项目资金使用情况、财务管理状况和资产配置、使用、处置及其收益管理情况；项目管理相关制度及措施是否被认真执行；绩效目标的实现程度，包括是否达到预定产出和效果等方面进行部门绩效评价。</w:t>
      </w:r>
    </w:p>
    <w:p>
      <w:pPr>
        <w:spacing w:line="540" w:lineRule="exact"/>
        <w:ind w:firstLine="567" w:firstLineChars="181"/>
        <w:rPr>
          <w:rStyle w:val="17"/>
          <w:rFonts w:ascii="楷体" w:hAnsi="楷体" w:eastAsia="楷体"/>
          <w:spacing w:val="-4"/>
          <w:sz w:val="32"/>
          <w:szCs w:val="32"/>
        </w:rPr>
      </w:pPr>
      <w:r>
        <w:rPr>
          <w:rStyle w:val="17"/>
          <w:rFonts w:hint="eastAsia" w:ascii="楷体" w:hAnsi="楷体" w:eastAsia="楷体"/>
          <w:spacing w:val="-4"/>
          <w:sz w:val="32"/>
          <w:szCs w:val="32"/>
        </w:rPr>
        <w:t>（二）绩效评价原则、评价指标体系（附表说明）、评价方法、评价标准等。</w:t>
      </w:r>
    </w:p>
    <w:p>
      <w:pPr>
        <w:spacing w:line="540" w:lineRule="exact"/>
        <w:ind w:firstLine="567"/>
        <w:rPr>
          <w:rStyle w:val="17"/>
          <w:rFonts w:ascii="楷体" w:hAnsi="楷体" w:eastAsia="楷体"/>
          <w:spacing w:val="-4"/>
          <w:sz w:val="32"/>
          <w:szCs w:val="32"/>
        </w:rPr>
      </w:pPr>
      <w:r>
        <w:rPr>
          <w:rStyle w:val="17"/>
          <w:rFonts w:hint="eastAsia" w:ascii="楷体" w:hAnsi="楷体" w:eastAsia="楷体"/>
          <w:spacing w:val="-4"/>
          <w:sz w:val="32"/>
          <w:szCs w:val="32"/>
        </w:rPr>
        <w:t>1.绩效评价原则</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依据《预算法》、《中共中央国务院关于全面实施预算绩效管理的意见》（中发〔2018〕34号）、《自治区党委自治区人民政府关于全面实施预算绩效管理的实施意见》（新党发〔2018〕30号）、《自治区财政支出绩效评价管理暂行办法》（新财预〔2018〕189号）等要求，本次绩效评价秉承科学规范、公正公开、分级分类、绩效相关等原则，按照从投入、过程到产出效果和影响的绩效逻辑路径，结合公路日常养护项目实际开展情况，运用定量和定性分析相结合的方法，总结经验做法，反思项目实施和管理中的问题，以切实提升财政资金管理的科学化、规范化和精细化水平。根据以上原则，绩效评价应遵循如下要求：（1）在数据采集时，采取客观数据，主管部门审查、社会中介组织复查，与问卷调查相结合的形式，以保证各项指标的真实性。（2）保证评价结果的真实性、公正性，提高评价报告的公信力。（3）绩效评价报告应当简明扼要，除了对绩效评价的过程、结果描述外，还应总结经验，指出问题，并就共性问题提出可操作性改进建议。</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2.绩效评价指标体系</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我单位根据项目的实施资料研读及前期调研，结合项目的实际开展情况，将项目的指标体系进行了调整和完善，最终形成了项目绩效评价指标体系。我单位已将项目绩效评价指标体系模板上传到系统中。</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3.评价方法</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评价方法采用比较法，将项目实施情况与绩效目标进行比较，把项目实际完成指标情况与年度指标值进行对比，形成评价结果。</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单位自评采用定量与定性评价相结合的比较法，将项目实施情况与绩效目标进行比较，把项目实际完成指标情况与年度指标值进行对比，形成评价结果。</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4.评价标准</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绩效评价标准通常包括计划标准、行业标准、历史标准等。本次绩效评价采用计划标准，以预先制定的目标、计划、预算、定额等作为评价标准，对比分析项目产出、效益的完成情况。对于定性指标，通过文献查阅等方式，采集相关数据，运用等级描述法，设置分级标准，体现该指标认可程度的差异。对于定量指标，通过公式计算、数据统计等方式予以量化，可以准确衡量，并设定目标值的考核指标。</w:t>
      </w:r>
    </w:p>
    <w:p>
      <w:pPr>
        <w:spacing w:line="540" w:lineRule="exact"/>
        <w:ind w:firstLine="567" w:firstLineChars="181"/>
        <w:rPr>
          <w:rStyle w:val="17"/>
          <w:rFonts w:ascii="楷体" w:hAnsi="楷体" w:eastAsia="楷体"/>
          <w:spacing w:val="-4"/>
          <w:sz w:val="32"/>
          <w:szCs w:val="32"/>
        </w:rPr>
      </w:pPr>
      <w:r>
        <w:rPr>
          <w:rStyle w:val="17"/>
          <w:rFonts w:hint="eastAsia" w:ascii="楷体" w:hAnsi="楷体" w:eastAsia="楷体"/>
          <w:spacing w:val="-4"/>
          <w:sz w:val="32"/>
          <w:szCs w:val="32"/>
        </w:rPr>
        <w:t>（三）绩效评价工作过程。</w:t>
      </w:r>
    </w:p>
    <w:p>
      <w:pPr>
        <w:spacing w:line="540" w:lineRule="exact"/>
        <w:ind w:firstLine="567"/>
        <w:rPr>
          <w:rStyle w:val="17"/>
          <w:rFonts w:ascii="楷体" w:hAnsi="楷体" w:eastAsia="楷体"/>
          <w:spacing w:val="-4"/>
          <w:sz w:val="32"/>
          <w:szCs w:val="32"/>
        </w:rPr>
      </w:pPr>
      <w:r>
        <w:rPr>
          <w:rStyle w:val="17"/>
          <w:rFonts w:hint="eastAsia" w:ascii="楷体" w:hAnsi="楷体" w:eastAsia="楷体"/>
          <w:spacing w:val="-4"/>
          <w:sz w:val="32"/>
          <w:szCs w:val="32"/>
        </w:rPr>
        <w:t>此次绩效评价工作成立评价工作组，通过收集查看项目相关文件材料，查阅其他书面材料、实施情况，预算执行情况等，并按照评价指标、评价标准和评价规则对决策、过程、产出、效益和满意度五个方面进行评价，通过汇总平均，得出项目考评的综合评价得分，同时形成综合评价意见。</w:t>
      </w:r>
    </w:p>
    <w:p>
      <w:pPr>
        <w:spacing w:line="540" w:lineRule="exact"/>
        <w:ind w:firstLine="640"/>
        <w:rPr>
          <w:rStyle w:val="17"/>
          <w:rFonts w:hint="eastAsia" w:ascii="黑体" w:hAnsi="黑体" w:eastAsia="黑体"/>
          <w:b w:val="0"/>
          <w:spacing w:val="-4"/>
          <w:sz w:val="32"/>
          <w:szCs w:val="32"/>
        </w:rPr>
      </w:pPr>
      <w:r>
        <w:rPr>
          <w:rStyle w:val="17"/>
          <w:rFonts w:hint="eastAsia" w:ascii="黑体" w:hAnsi="黑体" w:eastAsia="黑体"/>
          <w:b w:val="0"/>
          <w:spacing w:val="-4"/>
          <w:sz w:val="32"/>
          <w:szCs w:val="32"/>
        </w:rPr>
        <w:t>三、</w:t>
      </w:r>
      <w:r>
        <w:rPr>
          <w:rStyle w:val="17"/>
          <w:rFonts w:hint="eastAsia"/>
          <w:spacing w:val="-4"/>
          <w:sz w:val="32"/>
          <w:szCs w:val="32"/>
        </w:rPr>
        <w:t>综合评价情况及评价结论</w:t>
      </w:r>
    </w:p>
    <w:p>
      <w:pPr>
        <w:spacing w:line="540" w:lineRule="exact"/>
        <w:ind w:firstLine="567"/>
        <w:rPr>
          <w:rStyle w:val="17"/>
          <w:rFonts w:hint="eastAsia" w:ascii="楷体" w:hAnsi="楷体" w:eastAsia="楷体"/>
          <w:spacing w:val="-4"/>
          <w:sz w:val="32"/>
          <w:szCs w:val="32"/>
        </w:rPr>
      </w:pPr>
      <w:r>
        <w:rPr>
          <w:rStyle w:val="17"/>
          <w:rFonts w:hint="eastAsia" w:ascii="楷体" w:hAnsi="楷体" w:eastAsia="楷体"/>
          <w:spacing w:val="-4"/>
          <w:sz w:val="32"/>
          <w:szCs w:val="32"/>
        </w:rPr>
        <w:t>此次绩效评价通过组论证的评价指标体系及评分标准，采用的方法为比较法，对公路运营管理项目绩效进行客观评价，最终评分结果：总分为100分，其中：项目决策20分、过程管理20分、项目产出20分、项目成本10分、项目效益20分、满意度指标10分。绩效评级为“优”。（优：90-100分，包含90分；良：80-90分，包含80分；中：60-80分，包含60分；差：60分以下）</w:t>
      </w:r>
    </w:p>
    <w:p>
      <w:pPr>
        <w:spacing w:line="540" w:lineRule="exact"/>
        <w:ind w:firstLine="640"/>
        <w:rPr>
          <w:rStyle w:val="17"/>
          <w:rFonts w:ascii="黑体" w:hAnsi="黑体" w:eastAsia="黑体"/>
        </w:rPr>
      </w:pPr>
      <w:r>
        <w:rPr>
          <w:rStyle w:val="17"/>
          <w:rFonts w:hint="eastAsia" w:ascii="黑体" w:hAnsi="黑体" w:eastAsia="黑体"/>
          <w:b w:val="0"/>
          <w:spacing w:val="-4"/>
          <w:sz w:val="32"/>
          <w:szCs w:val="32"/>
        </w:rPr>
        <w:t>四、</w:t>
      </w:r>
      <w:r>
        <w:rPr>
          <w:rStyle w:val="17"/>
          <w:rFonts w:hint="eastAsia"/>
          <w:spacing w:val="-4"/>
          <w:sz w:val="32"/>
          <w:szCs w:val="32"/>
        </w:rPr>
        <w:t>绩效评价指标分析</w:t>
      </w:r>
      <w:r>
        <w:rPr>
          <w:rStyle w:val="17"/>
          <w:rFonts w:hint="eastAsia" w:ascii="黑体" w:hAnsi="黑体" w:eastAsia="黑体"/>
          <w:b w:val="0"/>
          <w:spacing w:val="-4"/>
          <w:sz w:val="32"/>
          <w:szCs w:val="32"/>
        </w:rPr>
        <w:t xml:space="preserve"> </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（一）项目决策情况。</w:t>
      </w:r>
    </w:p>
    <w:p>
      <w:pPr>
        <w:spacing w:line="540" w:lineRule="exact"/>
        <w:ind w:firstLine="567"/>
        <w:rPr>
          <w:rStyle w:val="17"/>
          <w:rFonts w:ascii="楷体" w:hAnsi="楷体" w:eastAsia="楷体"/>
          <w:spacing w:val="-4"/>
          <w:sz w:val="32"/>
          <w:szCs w:val="32"/>
        </w:rPr>
      </w:pPr>
      <w:r>
        <w:rPr>
          <w:rStyle w:val="17"/>
          <w:rFonts w:hint="eastAsia" w:ascii="楷体" w:hAnsi="楷体" w:eastAsia="楷体"/>
          <w:spacing w:val="-4"/>
          <w:sz w:val="32"/>
          <w:szCs w:val="32"/>
        </w:rPr>
        <w:t>（一）项目决策情况</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项目决策由3个二级指标和6个三级指标构成，权重分20分，实际得分20分。具体如下：</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项目立项分值5分，得分5分。其中：立项依据充分性分值2分，得分2分；立项程序规范性分值3分，得分3分。根据自治区公路事业发展中心《关于下达2025年公路养护计划的通知》（新交公综计〔2025〕5号）、《关于下达2025年公路养护计划的通知》（新交公综计〔2025〕4号）、《关于下达2025年公路养护调整计划的通知》（新交公综计〔2025〕29号），该项目符合国家法律法规、国民经济发展规划和相关政策，符合行业发展规划和政策要求，与部门职责范围相符，属于部门履职所需，属于公共财政支持范围，符合中央、地方事权支出责任划分原则，项目没有重复立项，立项依据充分；该项目按照规定的程序申请设立，审批文件、材料符合相关要求，事前已经过必要的可行性研究、专家论证、风险评估、绩效评估、集体决策。</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绩效目标分值10分，得分10分。其中：绩效目标合理性分值5分，得分5分；绩效指标明确性分值5分，得分5分。该项目按照数量、质量、时效、成本、社会效益、满意度等方面结合项目实际设置了绩效目标，且绩效目标与实际工作内容具有紧密的相关性，项目预期产出效益和效果符合正常的业绩水平，与预算确定的项目投资额或资金量相匹配，项目绩效目标明确，将项目绩效目标细化分解为具体的绩效指标，比如管养公路日常养护里程覆盖率、符合《公路养护技术规范》要求验收率、公路日常养护质量合格率、年度养护任务按时完成率、年度养护任务按时开工率、公路日常养护预算控制率、管养公路保畅通行率、司乘人员满意度，通过清晰、可衡量的指标值予以体现，与项目目标任务数或计划数相对应。</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资金投入分值5分，得分5分。其中预算编制科学性分值2分，得分2分；资金分配合理性分值3分，得分3分。该项目预算编制合理，经过科学论证，预算内容与项目内容相匹配，预算额度按照标准编制，测算依据充分，预算确定的项目投资额或资金量与工作任务相匹配，经过专题会、党委会研究审议，分解下达预算资金，预算资金分配依据充分，资金分配额度合理，与实际相适应。</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（二）项目过程情况。</w:t>
      </w:r>
    </w:p>
    <w:p>
      <w:pPr>
        <w:spacing w:line="540" w:lineRule="exact"/>
        <w:ind w:firstLine="567"/>
        <w:rPr>
          <w:rStyle w:val="17"/>
          <w:rFonts w:ascii="楷体" w:hAnsi="楷体" w:eastAsia="楷体"/>
          <w:spacing w:val="-4"/>
          <w:sz w:val="32"/>
          <w:szCs w:val="32"/>
        </w:rPr>
      </w:pPr>
      <w:r>
        <w:rPr>
          <w:rStyle w:val="17"/>
          <w:rFonts w:hint="eastAsia" w:ascii="楷体" w:hAnsi="楷体" w:eastAsia="楷体"/>
          <w:spacing w:val="-4"/>
          <w:sz w:val="32"/>
          <w:szCs w:val="32"/>
        </w:rPr>
        <w:t>（二）项目过程情况</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项目过程管理类指标由2个二级指标和5个三级指标构成，权重分20分，实际得分20分。具体如下：</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资金管理分值12分，得分12分。其中资金到位率分值4分，得分4分；预算执行率分值4分，得分4分；资金使用合规性分值4分，得分4分。该项目预算资金968.69万元，到位资金968.69万元，实际支出资金968.69万元，资金到位率100.00%，预算执行率100.00%。资金使用合规，符合国家财经法规和财务管理制度以及有关专项资金管理办法的规定，资金支付均具有完整的审批程序和手续，与预算批复内容相符，不存在截留、挤占、挪用、虚列支出等情况。</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组织实施分值8分，得分8分。其中管理制度健全性分值4分，得分4分；制度执行有效性分值4分，得分4分。该项目财务和业务管理制度健全，且合法、合规、完整，制度执行遵守相关法律法规和相关管理规定，计划文件、上会资料、项目调整及支出调整手续完备，项目合同书、验收报告、技术鉴定等资料齐全并及时归档，项目实施的人员条件、场地设备、信息支撑等落实到位。</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（三）项目产出情况。</w:t>
      </w:r>
    </w:p>
    <w:p>
      <w:pPr>
        <w:spacing w:line="540" w:lineRule="exact"/>
        <w:ind w:firstLine="567"/>
        <w:rPr>
          <w:rStyle w:val="17"/>
          <w:rFonts w:ascii="楷体" w:hAnsi="楷体" w:eastAsia="楷体"/>
          <w:spacing w:val="-4"/>
          <w:sz w:val="32"/>
          <w:szCs w:val="32"/>
        </w:rPr>
      </w:pPr>
      <w:r>
        <w:rPr>
          <w:rStyle w:val="17"/>
          <w:rFonts w:hint="eastAsia" w:ascii="楷体" w:hAnsi="楷体" w:eastAsia="楷体"/>
          <w:spacing w:val="-4"/>
          <w:sz w:val="32"/>
          <w:szCs w:val="32"/>
        </w:rPr>
        <w:t>（三）项目产出情况</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项目产出类指标由4个二级指标和XX个三级指标构成，权重分30分，实际得分30分。具体如下：</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①数量指标</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 “管养公路日常养护里程数”指标，预期指标值为&gt;=622.78公里，指标完成值为622.78公里，完成率为100%，分值4分，得分4分。乌鲁木齐公路管理局管养里程622.78公里，共计12条线路，其中：国道3条271.889公里，省道6条306.891公里，专用公路2条44公里。完成我局管养所有路线的日常养护工作，完成率100%。</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②质量指标</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公路日常养护质量合格率”指标，预期指标值为=100%，指标完成值为100%，完成率为100%，分值4分，得分4分。2025年对中心所属6个养护所管养的622.78公里国省干线中开展的小修养护工作进行验收，参照相关技术规范及标准中的相关要求，达到了质量合格率，完成率100%。。</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符合《公路养护技术规范》要求验收率”指标，预期指标值为=100%，指标完成值为100%，完成率为100%，分值4分，得分4分。2025年对中心所属6个养护所管养的622.78公里国省干线中开展的小修养护工作进行验收，参照《公路养护技术规范》中的相关要求，达到了要求验收率，完成率100%。</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③时效指标</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年度养护任务按计划开工率”指标，预期指标值为&gt;=95%，指标完成值为100%，完成率为100%，分值5分，得分5分。按照乌鲁木齐周边气候条件，每年4月中旬满足夏季养护工作条件，经检查，中心所属各养护所夏季养护工作均于4月中旬开始，完成率100%。</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年度养护任务按时完成率”指标，预期指标值为&gt;=95%，指标完成值为100%，完成率为100%，分值5分，得分5分。按照乌鲁木齐周边气候条件，每年10月底将结束夏季养护工作，经检查，中心所属各养护所夏季养护工作均于10月中旬前完成，完成率100%。</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（四）项目效益情况。</w:t>
      </w:r>
    </w:p>
    <w:p>
      <w:pPr>
        <w:spacing w:line="540" w:lineRule="exact"/>
        <w:ind w:firstLine="567"/>
        <w:rPr>
          <w:rStyle w:val="17"/>
          <w:rFonts w:hint="eastAsia" w:ascii="楷体" w:hAnsi="楷体" w:eastAsia="楷体"/>
          <w:spacing w:val="-4"/>
          <w:sz w:val="32"/>
          <w:szCs w:val="32"/>
        </w:rPr>
      </w:pPr>
      <w:r>
        <w:rPr>
          <w:rStyle w:val="17"/>
          <w:rFonts w:hint="eastAsia" w:ascii="楷体" w:hAnsi="楷体" w:eastAsia="楷体"/>
          <w:spacing w:val="-4"/>
          <w:sz w:val="32"/>
          <w:szCs w:val="32"/>
        </w:rPr>
        <w:t>（四）项目效益情况</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项目效益类指标由1个二级指标和1个三级指标构成，权重分20分，实际得分20分。</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①社会效益指标</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管养公路保畅通行率”指标，预期指标值为&gt;=95%，指标完成值为&gt;=95%，完成率为100%，分值20分，得分20分。2025年我中心管养的622.78公里国省干线通过日常小修养护工作大大提高了道路通行率，全年未发生因道路不通畅而产生的不良影响。</w:t>
      </w:r>
    </w:p>
    <w:p>
      <w:pPr>
        <w:spacing w:line="540" w:lineRule="exact"/>
        <w:ind w:firstLine="567"/>
        <w:rPr>
          <w:rStyle w:val="17"/>
          <w:rFonts w:hint="eastAsia" w:ascii="楷体" w:hAnsi="楷体" w:eastAsia="楷体"/>
          <w:spacing w:val="-4"/>
          <w:sz w:val="32"/>
          <w:szCs w:val="32"/>
        </w:rPr>
      </w:pPr>
      <w:r>
        <w:rPr>
          <w:rStyle w:val="17"/>
          <w:rFonts w:hint="eastAsia" w:ascii="楷体" w:hAnsi="楷体" w:eastAsia="楷体"/>
          <w:spacing w:val="-4"/>
          <w:sz w:val="32"/>
          <w:szCs w:val="32"/>
        </w:rPr>
        <w:t>（五）满意度指标完成情况分析</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项目满意度指标由1个二级指标和1个三级指标构成，权重分10分，实际得分10分。具体如下：</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“司乘人员满意度”指标，预期指标值为&gt;=85%，指标完成值为85.4%，完成率为100%，分值10分，得分10分。</w:t>
      </w:r>
    </w:p>
    <w:p>
      <w:pPr>
        <w:spacing w:line="540" w:lineRule="exact"/>
        <w:ind w:firstLine="640"/>
        <w:rPr>
          <w:rStyle w:val="17"/>
          <w:rFonts w:ascii="黑体" w:hAnsi="黑体" w:eastAsia="黑体"/>
          <w:spacing w:val="-4"/>
          <w:sz w:val="32"/>
          <w:szCs w:val="32"/>
        </w:rPr>
      </w:pPr>
      <w:r>
        <w:rPr>
          <w:rStyle w:val="17"/>
          <w:rFonts w:hint="eastAsia" w:ascii="黑体" w:hAnsi="黑体" w:eastAsia="黑体"/>
          <w:b w:val="0"/>
          <w:spacing w:val="-4"/>
          <w:sz w:val="32"/>
          <w:szCs w:val="32"/>
          <w:lang w:eastAsia="zh-CN"/>
        </w:rPr>
        <w:t>五</w:t>
      </w:r>
      <w:r>
        <w:rPr>
          <w:rStyle w:val="17"/>
          <w:rFonts w:hint="eastAsia" w:ascii="黑体" w:hAnsi="黑体" w:eastAsia="黑体"/>
          <w:b w:val="0"/>
          <w:spacing w:val="-4"/>
          <w:sz w:val="32"/>
          <w:szCs w:val="32"/>
        </w:rPr>
        <w:t>、</w:t>
      </w:r>
      <w:r>
        <w:rPr>
          <w:rStyle w:val="17"/>
          <w:rFonts w:ascii="黑体" w:hAnsi="黑体" w:eastAsia="黑体"/>
          <w:b w:val="0"/>
          <w:spacing w:val="-4"/>
          <w:sz w:val="32"/>
          <w:szCs w:val="32"/>
        </w:rPr>
        <w:t>主要经验及做法、存在的问题及原因分析</w:t>
      </w:r>
    </w:p>
    <w:p>
      <w:pPr>
        <w:spacing w:line="540" w:lineRule="exact"/>
        <w:ind w:firstLine="627" w:firstLineChars="200"/>
        <w:rPr>
          <w:rStyle w:val="17"/>
          <w:rFonts w:ascii="楷体" w:hAnsi="楷体" w:eastAsia="楷体"/>
          <w:spacing w:val="-4"/>
          <w:sz w:val="32"/>
          <w:szCs w:val="32"/>
        </w:rPr>
      </w:pPr>
      <w:r>
        <w:rPr>
          <w:rStyle w:val="17"/>
          <w:rFonts w:hint="eastAsia" w:ascii="楷体" w:hAnsi="楷体" w:eastAsia="楷体"/>
          <w:spacing w:val="-4"/>
          <w:sz w:val="32"/>
          <w:szCs w:val="32"/>
        </w:rPr>
        <w:t>（一）主要经验及做法</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目前按自治区公路事业发展中心计划拨付的总费用，以各养护所管养里程及实际路况分配小修养护资金。各单位根据小修养护资金，通过使用环保材料、提升工艺技能，对公路出现的影响行车安全的坑槽、翻浆、沿线设施损坏等病害进行处治，保障公路的畅通要求，延缓公路技术状况下滑速度。</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（二）存在的问题及原因分析</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由于资金短缺难以与交通部提倡预防性养护理念相同步，与实际养护需求存在一定的缺口。在生态保护型社会的大背景下，对路域环境工作也提出更高的要求，提倡绿色养护也促使我们选择更环保的养护新材料、新工艺，公路日常养护成本也大大增加。</w:t>
      </w:r>
    </w:p>
    <w:p>
      <w:pPr>
        <w:ind w:firstLine="624" w:firstLineChars="200"/>
        <w:rPr>
          <w:rStyle w:val="17"/>
          <w:rFonts w:ascii="黑体" w:hAnsi="黑体" w:eastAsia="黑体"/>
          <w:b w:val="0"/>
          <w:spacing w:val="-4"/>
          <w:sz w:val="32"/>
          <w:szCs w:val="32"/>
        </w:rPr>
      </w:pPr>
      <w:r>
        <w:rPr>
          <w:rStyle w:val="17"/>
          <w:rFonts w:hint="eastAsia" w:ascii="黑体" w:hAnsi="黑体" w:eastAsia="黑体"/>
          <w:b w:val="0"/>
          <w:spacing w:val="-4"/>
          <w:sz w:val="32"/>
          <w:szCs w:val="32"/>
          <w:lang w:eastAsia="zh-CN"/>
        </w:rPr>
        <w:t>六</w:t>
      </w:r>
      <w:r>
        <w:rPr>
          <w:rStyle w:val="17"/>
          <w:rFonts w:ascii="黑体" w:hAnsi="黑体" w:eastAsia="黑体"/>
          <w:b w:val="0"/>
          <w:spacing w:val="-4"/>
          <w:sz w:val="32"/>
          <w:szCs w:val="32"/>
        </w:rPr>
        <w:t>、有关建议</w:t>
      </w:r>
    </w:p>
    <w:p>
      <w:pPr>
        <w:spacing w:line="540" w:lineRule="exact"/>
        <w:ind w:firstLine="627" w:firstLineChars="200"/>
        <w:rPr>
          <w:rStyle w:val="17"/>
          <w:rFonts w:ascii="楷体" w:hAnsi="楷体" w:eastAsia="楷体"/>
          <w:spacing w:val="-4"/>
          <w:sz w:val="32"/>
          <w:szCs w:val="32"/>
        </w:rPr>
      </w:pPr>
      <w:r>
        <w:rPr>
          <w:rStyle w:val="17"/>
          <w:rFonts w:hint="eastAsia" w:ascii="楷体" w:hAnsi="楷体" w:eastAsia="楷体"/>
          <w:spacing w:val="-4"/>
          <w:sz w:val="32"/>
          <w:szCs w:val="32"/>
        </w:rPr>
        <w:t>建议下阶段能以更好地满足公众出行，提供更好的路况服务为导向，综合考虑小修养护的实际需求，给予充足的资金支撑，做好国省干线公路的养护保通工作，为交通参与者提供畅安舒美的通行环境，为自治区地方经济发展做好公路通行保障。</w:t>
      </w:r>
    </w:p>
    <w:p>
      <w:pPr>
        <w:spacing w:line="540" w:lineRule="exact"/>
        <w:ind w:firstLine="567"/>
        <w:rPr>
          <w:rStyle w:val="17"/>
          <w:rFonts w:ascii="黑体" w:hAnsi="黑体" w:eastAsia="黑体"/>
          <w:b w:val="0"/>
          <w:spacing w:val="-4"/>
          <w:sz w:val="32"/>
          <w:szCs w:val="32"/>
        </w:rPr>
      </w:pPr>
      <w:r>
        <w:rPr>
          <w:rStyle w:val="17"/>
          <w:rFonts w:hint="eastAsia" w:ascii="黑体" w:hAnsi="黑体" w:eastAsia="黑体"/>
          <w:b w:val="0"/>
          <w:spacing w:val="-4"/>
          <w:sz w:val="32"/>
          <w:szCs w:val="32"/>
          <w:lang w:eastAsia="zh-CN"/>
        </w:rPr>
        <w:t>七</w:t>
      </w:r>
      <w:r>
        <w:rPr>
          <w:rStyle w:val="17"/>
          <w:rFonts w:hint="eastAsia" w:ascii="黑体" w:hAnsi="黑体" w:eastAsia="黑体"/>
          <w:b w:val="0"/>
          <w:spacing w:val="-4"/>
          <w:sz w:val="32"/>
          <w:szCs w:val="32"/>
        </w:rPr>
        <w:t>、其他需要说明的问题</w:t>
      </w:r>
    </w:p>
    <w:p>
      <w:pPr>
        <w:spacing w:line="540" w:lineRule="exact"/>
        <w:ind w:firstLine="627" w:firstLineChars="200"/>
        <w:rPr>
          <w:rStyle w:val="17"/>
          <w:rFonts w:ascii="楷体" w:hAnsi="楷体" w:eastAsia="楷体"/>
          <w:spacing w:val="-4"/>
          <w:sz w:val="32"/>
          <w:szCs w:val="32"/>
        </w:rPr>
      </w:pPr>
      <w:r>
        <w:rPr>
          <w:rStyle w:val="17"/>
          <w:rFonts w:hint="eastAsia" w:ascii="楷体" w:hAnsi="楷体" w:eastAsia="楷体"/>
          <w:spacing w:val="-4"/>
          <w:sz w:val="32"/>
          <w:szCs w:val="32"/>
        </w:rPr>
        <w:t>无其他说明内容</w:t>
      </w: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 w:name="方正小标宋_GBK">
    <w:panose1 w:val="03000509000000000000"/>
    <w:charset w:val="86"/>
    <w:family w:val="script"/>
    <w:pitch w:val="default"/>
    <w:sig w:usb0="00000001" w:usb1="080E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Arial">
    <w:panose1 w:val="020B0604020202020204"/>
    <w:charset w:val="00"/>
    <w:family w:val="auto"/>
    <w:pitch w:val="default"/>
    <w:sig w:usb0="E0002EFF" w:usb1="C000785B"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1028C5"/>
    <w:rsid w:val="00102DFF"/>
    <w:rsid w:val="00121AE4"/>
    <w:rsid w:val="0014601B"/>
    <w:rsid w:val="00146AAD"/>
    <w:rsid w:val="00150F05"/>
    <w:rsid w:val="001B3A40"/>
    <w:rsid w:val="00273CCD"/>
    <w:rsid w:val="00291BC0"/>
    <w:rsid w:val="00311DBE"/>
    <w:rsid w:val="00345DD7"/>
    <w:rsid w:val="00351EFF"/>
    <w:rsid w:val="003B0577"/>
    <w:rsid w:val="003E7E58"/>
    <w:rsid w:val="003F5180"/>
    <w:rsid w:val="00414C3A"/>
    <w:rsid w:val="004366A8"/>
    <w:rsid w:val="004A05EE"/>
    <w:rsid w:val="004C38BC"/>
    <w:rsid w:val="004F1F3C"/>
    <w:rsid w:val="00502BA7"/>
    <w:rsid w:val="005162F1"/>
    <w:rsid w:val="00535153"/>
    <w:rsid w:val="00554F82"/>
    <w:rsid w:val="0056390D"/>
    <w:rsid w:val="005719B0"/>
    <w:rsid w:val="005A4F2E"/>
    <w:rsid w:val="005A5018"/>
    <w:rsid w:val="005C51DF"/>
    <w:rsid w:val="005D10D6"/>
    <w:rsid w:val="005E7C5E"/>
    <w:rsid w:val="0075584F"/>
    <w:rsid w:val="00855E3A"/>
    <w:rsid w:val="0091457F"/>
    <w:rsid w:val="00922CB9"/>
    <w:rsid w:val="00925D36"/>
    <w:rsid w:val="00944DD1"/>
    <w:rsid w:val="009E5CD9"/>
    <w:rsid w:val="009F4373"/>
    <w:rsid w:val="00A26421"/>
    <w:rsid w:val="00A34588"/>
    <w:rsid w:val="00A413B8"/>
    <w:rsid w:val="00A4293B"/>
    <w:rsid w:val="00A67D50"/>
    <w:rsid w:val="00A8691A"/>
    <w:rsid w:val="00A972DF"/>
    <w:rsid w:val="00AC1946"/>
    <w:rsid w:val="00AC3A96"/>
    <w:rsid w:val="00AD5E52"/>
    <w:rsid w:val="00AF683C"/>
    <w:rsid w:val="00B2343E"/>
    <w:rsid w:val="00B40063"/>
    <w:rsid w:val="00B41F61"/>
    <w:rsid w:val="00B74D04"/>
    <w:rsid w:val="00BA46E6"/>
    <w:rsid w:val="00BB5015"/>
    <w:rsid w:val="00C56C72"/>
    <w:rsid w:val="00C62CB9"/>
    <w:rsid w:val="00CA6457"/>
    <w:rsid w:val="00CA6DC2"/>
    <w:rsid w:val="00CD37A4"/>
    <w:rsid w:val="00CE2FD9"/>
    <w:rsid w:val="00D17F2E"/>
    <w:rsid w:val="00D30354"/>
    <w:rsid w:val="00D52B7C"/>
    <w:rsid w:val="00D80C1E"/>
    <w:rsid w:val="00DB1661"/>
    <w:rsid w:val="00DF42A0"/>
    <w:rsid w:val="00E30E91"/>
    <w:rsid w:val="00E769FE"/>
    <w:rsid w:val="00E774CE"/>
    <w:rsid w:val="00E96D03"/>
    <w:rsid w:val="00EA2CBE"/>
    <w:rsid w:val="00EB10A0"/>
    <w:rsid w:val="00F32FEE"/>
    <w:rsid w:val="00FB10BB"/>
    <w:rsid w:val="0CB44F22"/>
    <w:rsid w:val="38252846"/>
    <w:rsid w:val="4C3D1751"/>
    <w:rsid w:val="4D2606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nhideWhenUsed="0" w:uiPriority="99" w:semiHidden="0" w:name="Table Subtle 1"/>
    <w:lsdException w:uiPriority="99" w:name="Table Subtle 2"/>
    <w:lsdException w:uiPriority="99" w:name="Table Web 1"/>
    <w:lsdException w:unhideWhenUsed="0" w:uiPriority="99" w:semiHidden="0" w:name="Table Web 2"/>
    <w:lsdException w:unhideWhenUsed="0" w:uiPriority="99" w:semiHidden="0"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6">
    <w:name w:val="Default Paragraph Font"/>
    <w:unhideWhenUsed/>
    <w:qFormat/>
    <w:uiPriority w:val="1"/>
  </w:style>
  <w:style w:type="table" w:default="1" w:styleId="19">
    <w:name w:val="Normal Table"/>
    <w:unhideWhenUsed/>
    <w:qFormat/>
    <w:uiPriority w:val="99"/>
    <w:tblPr>
      <w:tblLayout w:type="fixed"/>
      <w:tblCellMar>
        <w:top w:w="0" w:type="dxa"/>
        <w:left w:w="108" w:type="dxa"/>
        <w:bottom w:w="0" w:type="dxa"/>
        <w:right w:w="108" w:type="dxa"/>
      </w:tblCellMar>
    </w:tblPr>
  </w:style>
  <w:style w:type="paragraph" w:styleId="11">
    <w:name w:val="Balloon Text"/>
    <w:basedOn w:val="1"/>
    <w:link w:val="45"/>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7">
    <w:name w:val="Strong"/>
    <w:basedOn w:val="16"/>
    <w:qFormat/>
    <w:uiPriority w:val="0"/>
    <w:rPr>
      <w:b/>
      <w:bCs/>
    </w:rPr>
  </w:style>
  <w:style w:type="character" w:styleId="18">
    <w:name w:val="Emphasis"/>
    <w:basedOn w:val="16"/>
    <w:qFormat/>
    <w:uiPriority w:val="20"/>
    <w:rPr>
      <w:rFonts w:asciiTheme="minorHAnsi" w:hAnsiTheme="minorHAnsi"/>
      <w:b/>
      <w:i/>
      <w:iCs/>
    </w:rPr>
  </w:style>
  <w:style w:type="character" w:customStyle="1" w:styleId="20">
    <w:name w:val="标题 1 字符"/>
    <w:basedOn w:val="16"/>
    <w:link w:val="2"/>
    <w:qFormat/>
    <w:uiPriority w:val="9"/>
    <w:rPr>
      <w:rFonts w:asciiTheme="majorHAnsi" w:hAnsiTheme="majorHAnsi" w:eastAsiaTheme="majorEastAsia"/>
      <w:b/>
      <w:bCs/>
      <w:kern w:val="32"/>
      <w:sz w:val="32"/>
      <w:szCs w:val="32"/>
    </w:rPr>
  </w:style>
  <w:style w:type="character" w:customStyle="1" w:styleId="21">
    <w:name w:val="标题 2 字符"/>
    <w:basedOn w:val="16"/>
    <w:link w:val="3"/>
    <w:semiHidden/>
    <w:qFormat/>
    <w:uiPriority w:val="9"/>
    <w:rPr>
      <w:rFonts w:asciiTheme="majorHAnsi" w:hAnsiTheme="majorHAnsi" w:eastAsiaTheme="majorEastAsia"/>
      <w:b/>
      <w:bCs/>
      <w:i/>
      <w:iCs/>
      <w:sz w:val="28"/>
      <w:szCs w:val="28"/>
    </w:rPr>
  </w:style>
  <w:style w:type="character" w:customStyle="1" w:styleId="22">
    <w:name w:val="标题 3 字符"/>
    <w:basedOn w:val="16"/>
    <w:link w:val="4"/>
    <w:semiHidden/>
    <w:qFormat/>
    <w:uiPriority w:val="9"/>
    <w:rPr>
      <w:rFonts w:asciiTheme="majorHAnsi" w:hAnsiTheme="majorHAnsi" w:eastAsiaTheme="majorEastAsia"/>
      <w:b/>
      <w:bCs/>
      <w:sz w:val="26"/>
      <w:szCs w:val="26"/>
    </w:rPr>
  </w:style>
  <w:style w:type="character" w:customStyle="1" w:styleId="23">
    <w:name w:val="标题 4 字符"/>
    <w:basedOn w:val="16"/>
    <w:link w:val="5"/>
    <w:qFormat/>
    <w:uiPriority w:val="9"/>
    <w:rPr>
      <w:b/>
      <w:bCs/>
      <w:sz w:val="28"/>
      <w:szCs w:val="28"/>
    </w:rPr>
  </w:style>
  <w:style w:type="character" w:customStyle="1" w:styleId="24">
    <w:name w:val="标题 5 字符"/>
    <w:basedOn w:val="16"/>
    <w:link w:val="6"/>
    <w:semiHidden/>
    <w:qFormat/>
    <w:uiPriority w:val="9"/>
    <w:rPr>
      <w:b/>
      <w:bCs/>
      <w:i/>
      <w:iCs/>
      <w:sz w:val="26"/>
      <w:szCs w:val="26"/>
    </w:rPr>
  </w:style>
  <w:style w:type="character" w:customStyle="1" w:styleId="25">
    <w:name w:val="标题 6 字符"/>
    <w:basedOn w:val="16"/>
    <w:link w:val="7"/>
    <w:semiHidden/>
    <w:qFormat/>
    <w:uiPriority w:val="9"/>
    <w:rPr>
      <w:b/>
      <w:bCs/>
    </w:rPr>
  </w:style>
  <w:style w:type="character" w:customStyle="1" w:styleId="26">
    <w:name w:val="标题 7 字符"/>
    <w:basedOn w:val="16"/>
    <w:link w:val="8"/>
    <w:semiHidden/>
    <w:qFormat/>
    <w:uiPriority w:val="9"/>
    <w:rPr>
      <w:sz w:val="24"/>
      <w:szCs w:val="24"/>
    </w:rPr>
  </w:style>
  <w:style w:type="character" w:customStyle="1" w:styleId="27">
    <w:name w:val="标题 8 字符"/>
    <w:basedOn w:val="16"/>
    <w:link w:val="9"/>
    <w:semiHidden/>
    <w:qFormat/>
    <w:uiPriority w:val="9"/>
    <w:rPr>
      <w:i/>
      <w:iCs/>
      <w:sz w:val="24"/>
      <w:szCs w:val="24"/>
    </w:rPr>
  </w:style>
  <w:style w:type="character" w:customStyle="1" w:styleId="28">
    <w:name w:val="标题 9 字符"/>
    <w:basedOn w:val="16"/>
    <w:link w:val="10"/>
    <w:semiHidden/>
    <w:qFormat/>
    <w:uiPriority w:val="9"/>
    <w:rPr>
      <w:rFonts w:asciiTheme="majorHAnsi" w:hAnsiTheme="majorHAnsi" w:eastAsiaTheme="majorEastAsia"/>
    </w:rPr>
  </w:style>
  <w:style w:type="character" w:customStyle="1" w:styleId="29">
    <w:name w:val="标题 字符"/>
    <w:basedOn w:val="16"/>
    <w:link w:val="15"/>
    <w:qFormat/>
    <w:uiPriority w:val="10"/>
    <w:rPr>
      <w:rFonts w:asciiTheme="majorHAnsi" w:hAnsiTheme="majorHAnsi" w:eastAsiaTheme="majorEastAsia"/>
      <w:b/>
      <w:bCs/>
      <w:kern w:val="28"/>
      <w:sz w:val="32"/>
      <w:szCs w:val="32"/>
    </w:rPr>
  </w:style>
  <w:style w:type="character" w:customStyle="1" w:styleId="30">
    <w:name w:val="副标题 字符"/>
    <w:basedOn w:val="16"/>
    <w:link w:val="14"/>
    <w:qFormat/>
    <w:uiPriority w:val="11"/>
    <w:rPr>
      <w:rFonts w:asciiTheme="majorHAnsi" w:hAnsiTheme="majorHAnsi" w:eastAsiaTheme="majorEastAsia"/>
      <w:sz w:val="24"/>
      <w:szCs w:val="24"/>
    </w:rPr>
  </w:style>
  <w:style w:type="paragraph" w:customStyle="1"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customStyle="1"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customStyle="1"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6"/>
    <w:link w:val="33"/>
    <w:qFormat/>
    <w:uiPriority w:val="29"/>
    <w:rPr>
      <w:i/>
      <w:sz w:val="24"/>
      <w:szCs w:val="24"/>
    </w:rPr>
  </w:style>
  <w:style w:type="paragraph" w:customStyle="1"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6"/>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6"/>
    <w:qFormat/>
    <w:uiPriority w:val="21"/>
    <w:rPr>
      <w:b/>
      <w:i/>
      <w:sz w:val="24"/>
      <w:szCs w:val="24"/>
      <w:u w:val="single"/>
    </w:rPr>
  </w:style>
  <w:style w:type="character" w:customStyle="1" w:styleId="39">
    <w:name w:val="不明显参考1"/>
    <w:basedOn w:val="16"/>
    <w:qFormat/>
    <w:uiPriority w:val="31"/>
    <w:rPr>
      <w:sz w:val="24"/>
      <w:szCs w:val="24"/>
      <w:u w:val="single"/>
    </w:rPr>
  </w:style>
  <w:style w:type="character" w:customStyle="1" w:styleId="40">
    <w:name w:val="明显参考1"/>
    <w:basedOn w:val="16"/>
    <w:qFormat/>
    <w:uiPriority w:val="32"/>
    <w:rPr>
      <w:b/>
      <w:sz w:val="24"/>
      <w:u w:val="single"/>
    </w:rPr>
  </w:style>
  <w:style w:type="character" w:customStyle="1" w:styleId="41">
    <w:name w:val="书籍标题1"/>
    <w:basedOn w:val="16"/>
    <w:qFormat/>
    <w:uiPriority w:val="33"/>
    <w:rPr>
      <w:rFonts w:asciiTheme="majorHAnsi" w:hAnsiTheme="majorHAnsi" w:eastAsiaTheme="majorEastAsia"/>
      <w:b/>
      <w:i/>
      <w:sz w:val="24"/>
      <w:szCs w:val="24"/>
    </w:rPr>
  </w:style>
  <w:style w:type="paragraph" w:customStyle="1" w:styleId="42">
    <w:name w:val="TOC 标题1"/>
    <w:basedOn w:val="2"/>
    <w:next w:val="1"/>
    <w:unhideWhenUsed/>
    <w:qFormat/>
    <w:uiPriority w:val="39"/>
    <w:pPr>
      <w:outlineLvl w:val="9"/>
    </w:pPr>
    <w:rPr>
      <w:lang w:eastAsia="en-US" w:bidi="en-US"/>
    </w:rPr>
  </w:style>
  <w:style w:type="character" w:customStyle="1" w:styleId="43">
    <w:name w:val="页眉 字符"/>
    <w:basedOn w:val="16"/>
    <w:link w:val="13"/>
    <w:qFormat/>
    <w:uiPriority w:val="99"/>
    <w:rPr>
      <w:rFonts w:ascii="Calibri" w:hAnsi="Calibri" w:eastAsia="宋体"/>
      <w:kern w:val="2"/>
      <w:sz w:val="18"/>
      <w:szCs w:val="18"/>
    </w:rPr>
  </w:style>
  <w:style w:type="character" w:customStyle="1" w:styleId="44">
    <w:name w:val="页脚 字符"/>
    <w:basedOn w:val="16"/>
    <w:link w:val="12"/>
    <w:qFormat/>
    <w:uiPriority w:val="99"/>
    <w:rPr>
      <w:rFonts w:ascii="Calibri" w:hAnsi="Calibri" w:eastAsia="宋体"/>
      <w:kern w:val="2"/>
      <w:sz w:val="18"/>
      <w:szCs w:val="18"/>
    </w:rPr>
  </w:style>
  <w:style w:type="character" w:customStyle="1" w:styleId="45">
    <w:name w:val="批注框文本 字符"/>
    <w:basedOn w:val="16"/>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113</Words>
  <Characters>648</Characters>
  <Lines>5</Lines>
  <Paragraphs>1</Paragraphs>
  <ScaleCrop>false</ScaleCrop>
  <LinksUpToDate>false</LinksUpToDate>
  <CharactersWithSpaces>760</CharactersWithSpaces>
  <Application>WPS Office_10.8.0.6370_F1E327BC-269C-435d-A152-05C5408002CA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Administrator</cp:lastModifiedBy>
  <cp:lastPrinted>2018-12-31T10:56:00Z</cp:lastPrinted>
  <dcterms:modified xsi:type="dcterms:W3CDTF">2026-09-02T10:13:56Z</dcterms:modified>
  <cp:revision>64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2052-10.8.0.6370</vt:lpwstr>
  </property>
  <property fmtid="{D5CDD505-2E9C-101B-9397-08002B2CF9AE}" pid="3" name="ICV">
    <vt:lpwstr>160D1BA1944349B08C48068401F6E698</vt:lpwstr>
  </property>
</Properties>
</file>