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55D094">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2E2DB89C">
      <w:pPr>
        <w:spacing w:line="540" w:lineRule="exact"/>
        <w:jc w:val="center"/>
        <w:rPr>
          <w:rFonts w:ascii="华文中宋" w:hAnsi="华文中宋" w:eastAsia="华文中宋" w:cs="宋体"/>
          <w:b/>
          <w:kern w:val="0"/>
          <w:sz w:val="52"/>
          <w:szCs w:val="52"/>
        </w:rPr>
      </w:pPr>
    </w:p>
    <w:p w14:paraId="24744EFB">
      <w:pPr>
        <w:spacing w:line="540" w:lineRule="exact"/>
        <w:jc w:val="center"/>
        <w:rPr>
          <w:rFonts w:ascii="华文中宋" w:hAnsi="华文中宋" w:eastAsia="华文中宋" w:cs="宋体"/>
          <w:b/>
          <w:kern w:val="0"/>
          <w:sz w:val="52"/>
          <w:szCs w:val="52"/>
        </w:rPr>
      </w:pPr>
    </w:p>
    <w:p w14:paraId="61CAB325">
      <w:pPr>
        <w:spacing w:line="540" w:lineRule="exact"/>
        <w:jc w:val="center"/>
        <w:rPr>
          <w:rFonts w:ascii="华文中宋" w:hAnsi="华文中宋" w:eastAsia="华文中宋" w:cs="宋体"/>
          <w:b/>
          <w:kern w:val="0"/>
          <w:sz w:val="52"/>
          <w:szCs w:val="52"/>
        </w:rPr>
      </w:pPr>
    </w:p>
    <w:p w14:paraId="0E2BFD1D">
      <w:pPr>
        <w:spacing w:line="540" w:lineRule="exact"/>
        <w:jc w:val="center"/>
        <w:rPr>
          <w:rFonts w:ascii="华文中宋" w:hAnsi="华文中宋" w:eastAsia="华文中宋" w:cs="宋体"/>
          <w:b/>
          <w:kern w:val="0"/>
          <w:sz w:val="52"/>
          <w:szCs w:val="52"/>
        </w:rPr>
      </w:pPr>
    </w:p>
    <w:p w14:paraId="70D3859B">
      <w:pPr>
        <w:spacing w:line="540" w:lineRule="exact"/>
        <w:jc w:val="center"/>
        <w:rPr>
          <w:rFonts w:ascii="华文中宋" w:hAnsi="华文中宋" w:eastAsia="华文中宋" w:cs="宋体"/>
          <w:b/>
          <w:kern w:val="0"/>
          <w:sz w:val="52"/>
          <w:szCs w:val="52"/>
        </w:rPr>
      </w:pPr>
    </w:p>
    <w:p w14:paraId="100907D0">
      <w:pPr>
        <w:spacing w:line="540" w:lineRule="exact"/>
        <w:jc w:val="center"/>
        <w:rPr>
          <w:rFonts w:ascii="华文中宋" w:hAnsi="华文中宋" w:eastAsia="华文中宋" w:cs="宋体"/>
          <w:b/>
          <w:kern w:val="0"/>
          <w:sz w:val="52"/>
          <w:szCs w:val="52"/>
        </w:rPr>
      </w:pPr>
    </w:p>
    <w:p w14:paraId="0BA88D7A">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66493949">
      <w:pPr>
        <w:spacing w:line="540" w:lineRule="exact"/>
        <w:jc w:val="center"/>
        <w:rPr>
          <w:rFonts w:ascii="华文中宋" w:hAnsi="华文中宋" w:eastAsia="华文中宋" w:cs="宋体"/>
          <w:b/>
          <w:kern w:val="0"/>
          <w:sz w:val="52"/>
          <w:szCs w:val="52"/>
        </w:rPr>
      </w:pPr>
    </w:p>
    <w:p w14:paraId="151D392F">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14:paraId="486B4458">
      <w:pPr>
        <w:spacing w:line="540" w:lineRule="exact"/>
        <w:jc w:val="center"/>
        <w:rPr>
          <w:rFonts w:hAnsi="宋体" w:eastAsia="仿宋_GB2312" w:cs="宋体"/>
          <w:kern w:val="0"/>
          <w:sz w:val="30"/>
          <w:szCs w:val="30"/>
        </w:rPr>
      </w:pPr>
    </w:p>
    <w:p w14:paraId="489208C2">
      <w:pPr>
        <w:spacing w:line="540" w:lineRule="exact"/>
        <w:jc w:val="center"/>
        <w:rPr>
          <w:rFonts w:hAnsi="宋体" w:eastAsia="仿宋_GB2312" w:cs="宋体"/>
          <w:kern w:val="0"/>
          <w:sz w:val="30"/>
          <w:szCs w:val="30"/>
        </w:rPr>
      </w:pPr>
    </w:p>
    <w:p w14:paraId="386EB397">
      <w:pPr>
        <w:spacing w:line="540" w:lineRule="exact"/>
        <w:jc w:val="center"/>
        <w:rPr>
          <w:rFonts w:ascii="方正小标宋_GBK" w:hAnsi="宋体" w:eastAsia="方正小标宋_GBK" w:cs="宋体"/>
          <w:kern w:val="0"/>
          <w:sz w:val="36"/>
          <w:szCs w:val="36"/>
        </w:rPr>
      </w:pPr>
    </w:p>
    <w:p w14:paraId="55234FCE">
      <w:pPr>
        <w:spacing w:line="540" w:lineRule="exact"/>
        <w:jc w:val="center"/>
        <w:rPr>
          <w:rFonts w:hAnsi="宋体" w:eastAsia="仿宋_GB2312" w:cs="宋体"/>
          <w:kern w:val="0"/>
          <w:sz w:val="30"/>
          <w:szCs w:val="30"/>
        </w:rPr>
      </w:pPr>
    </w:p>
    <w:p w14:paraId="4546902D">
      <w:pPr>
        <w:spacing w:line="540" w:lineRule="exact"/>
        <w:jc w:val="center"/>
        <w:rPr>
          <w:rFonts w:hAnsi="宋体" w:eastAsia="仿宋_GB2312" w:cs="宋体"/>
          <w:kern w:val="0"/>
          <w:sz w:val="30"/>
          <w:szCs w:val="30"/>
        </w:rPr>
      </w:pPr>
    </w:p>
    <w:p w14:paraId="7476F91F">
      <w:pPr>
        <w:spacing w:line="540" w:lineRule="exact"/>
        <w:jc w:val="center"/>
        <w:rPr>
          <w:rFonts w:hAnsi="宋体" w:eastAsia="仿宋_GB2312" w:cs="宋体"/>
          <w:kern w:val="0"/>
          <w:sz w:val="30"/>
          <w:szCs w:val="30"/>
        </w:rPr>
      </w:pPr>
    </w:p>
    <w:p w14:paraId="33C506AC">
      <w:pPr>
        <w:spacing w:line="540" w:lineRule="exact"/>
        <w:rPr>
          <w:rFonts w:hAnsi="宋体" w:eastAsia="仿宋_GB2312" w:cs="宋体"/>
          <w:kern w:val="0"/>
          <w:sz w:val="30"/>
          <w:szCs w:val="30"/>
        </w:rPr>
      </w:pPr>
    </w:p>
    <w:p w14:paraId="39F93A24">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61C6CFA0">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公路养护工程</w:t>
      </w:r>
    </w:p>
    <w:p w14:paraId="68A2199D">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乌鲁木齐公路管理局</w:t>
      </w:r>
    </w:p>
    <w:p w14:paraId="65308368">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乌鲁木齐公路管理局</w:t>
      </w:r>
    </w:p>
    <w:p w14:paraId="2DBD3173">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艾来提·阿布拉</w:t>
      </w:r>
    </w:p>
    <w:p w14:paraId="24A8145D">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2026年03月12日</w:t>
      </w:r>
    </w:p>
    <w:p w14:paraId="6EE3E6AA">
      <w:pPr>
        <w:spacing w:line="700" w:lineRule="exact"/>
        <w:ind w:firstLine="708" w:firstLineChars="236"/>
        <w:jc w:val="left"/>
        <w:rPr>
          <w:rFonts w:hAnsi="宋体" w:eastAsia="仿宋_GB2312" w:cs="宋体"/>
          <w:kern w:val="0"/>
          <w:sz w:val="30"/>
          <w:szCs w:val="30"/>
        </w:rPr>
      </w:pPr>
    </w:p>
    <w:p w14:paraId="783D9839">
      <w:pPr>
        <w:spacing w:line="540" w:lineRule="exact"/>
        <w:rPr>
          <w:rStyle w:val="18"/>
          <w:rFonts w:ascii="黑体" w:hAnsi="黑体" w:eastAsia="黑体"/>
          <w:b w:val="0"/>
          <w:spacing w:val="-4"/>
          <w:sz w:val="32"/>
          <w:szCs w:val="32"/>
        </w:rPr>
      </w:pPr>
    </w:p>
    <w:p w14:paraId="2BA3B10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7FB975C9">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14:paraId="1CF53FE8">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交通运输部关于进一步提升公路安全保障水平的通知》（交公路函〔2018〕764号）文件要求，对管养路线中存在的安全隐患进行消除和改善。根据《公路养护工程管理办法》《自治区公路事业发展中心应急养护管理制度》（交公路发〔2018〕33号）及《自治区公路管理局公路灾害预防、抢险及修复工程管理制度》要求，主要处治洪水高发、水毁严重、岩盐、山体碎落、碎石坠落等路段，提高公路抗灾能力，提高车辆安全通行条件。根据《交通运输部关于进一步提升公路安全保障水平的通知》（交公路函〔2018〕764号）及交通运输部《公路危旧桥梁改造行动方案》建立的“十四五”危旧桥梁项目库，落实《交通运输部关于进一步提升公路桥梁安全耐久水平的意见》文件要求，按照交通运输部危桥动态清零原则，消除四、五类桥或存在较大安全隐患的三类桥。为适应公路养护发展需要，规范公路沥青路面预防性养护工作，依据交通运输部《公路沥青路面预防性养护技术规范》，采取科学合理的养护措施，实施预防性养护工程，延缓道路病害的发生，延长道路使用寿命，提高道路的服务水平，降低全寿命周期成本。有助于提高交通基础设施的耐久性和可靠性，保障交通运输的高效与安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3.主要内容及实施情况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养护工程项目缺口资金365.06万元：已实施安全设施精细化提升工程：S101线K0-K21.615段公路安全设施精细化提升工程、S301线K102至K137段安全设施精细化提升工程、S301线K137至K225+963段安全设施精细化提升工程；公路灾害防治工程：S301线K128-K139段灾害防治工程，提升公路安全畅通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（2）公路水毁抢修费260万元：根据《自治区公路管理局公路灾害预防、抢险及修复工程管理制度》要求，用于2025年发生水毁路段的抢修、抢险投入费用。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（1）项目资金安排落实、总投入等情况分析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公路养护工程项目预算安排总额为625.06万元，其中财政资金625.06万元，其他资金0万元，2024年实际收到预算资金625.06万元，预算资金到位率为100%。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（2）项目资金实际使用情况分析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本项目实际支付资金625.06万元，预算执行率100%。项目资金主要用于安全设施精细化提升工程费用236.2万元、公路灾害防治工程费用128.86万元，公路水毁抢修费用260万元。</w:t>
      </w:r>
    </w:p>
    <w:p w14:paraId="598BDC6E">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14:paraId="53A09C01">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对管养路线中的安全隐患进行消除和改善，处治洪水高发、水毁严重、岩盐、山体碎落、碎石坠落等路段。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财务相关资料，对项目阶段性成果进行评价，通过在5月底、8月底两个节点监控项目执行情况，提升预算执行质量。根据《交通运输部关于进一步提升公路安全保障水平的通知》（交公路函〔2018〕764号）文件要求，对管养路线中的安全隐患进行消除和改善，主要处治洪水高发、水毁严重、山体碎落、碎石坠落等路段，提高公路抗灾能力，提高车辆安全通行条件。根据《自治区公路事业发展中心公路灾害预防、抢险及修复工程管理制度》要求，做好发生水毁路段抢修、抢险及保通相关工作。为过往司乘人员提供“畅、安、舒、美”通行环境。</w:t>
      </w:r>
    </w:p>
    <w:p w14:paraId="6378A5D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14:paraId="5550FAB6">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76AFAAB7">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开展本次部门绩效评价工作，全面了解该项目预算编制的合理性、资金使用的合规性、项目管理的规范性、项目目标的实现情况、服务对象的满意度等，从中总结经验及教训，促进项目成果转化和应用，为今后类似项目的长效管理，提供可行性参考建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2.绩效评价对象和范围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此次我单位根据《项目支出绩效评价管理办法》（财预〔2020〕10号）文件要求对2025年度我单位实施的公路养护工程项目开展部门绩效评价，项目总金额625.06万元。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p>
    <w:p w14:paraId="49AE45C6">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14:paraId="449D884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公路养护工程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根据以上原则，绩效评价应遵循如下要求：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（2）保证评价结果的真实性、公正性，提高评价报告的公信力。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（3）绩效评价报告应当简明扼要，除了对绩效评价的过程、结果描述外，还应总结经验，指出问题，并就共性问题提出可操作性改进建议。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我单位根据项目的实施资料研读及前期调研，结合项目的实际开展情况，将项目的指标体系进行了调整和完善，最终形成了项目绩效评价指标体系。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评价方法采用比较法，将项目实施情况与绩效目标进行比较，把项目实际完成指标情况与年度指标值进行对比，形成评价结果。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单位自评采用定量与定性评价相结合的比较法，将项目实施情况与绩效目标进行比较，把项目实际完成指标情况与年度指标值进行对比，形成评价结果。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评价标准参照计划标准，以预先制定的目标、计划、预算、定额等作为评价标准。绩效评价标准通常包括计划标准、行业标准、历史标准等。本次绩效评价采用计划标准，以预先制定的目标、计划、预算、定额等作为评价标准，对比分析项目产出、效益的完成情况。对于定性指标，通过文献查阅等方式，采集相关数据，运用等级描述法，设置分级标准，体现该指标认可程度的差异。对于定量指标，通过公式计算、数据统计等方式予以量化，可以准确衡量，并设定目标值的考核指标。</w:t>
      </w:r>
    </w:p>
    <w:p w14:paraId="77B93990">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0AED42FF">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此次绩效评价工作成立评价工作组，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p>
    <w:p w14:paraId="5CBE0484">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14:paraId="2195C03B">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此次绩效评价通过组论证的评价指标体系及评分标准，采用的方法为比较法，对公路运营管理项目绩效进行客观评价，最终评分结果：总分为100分，其中：项目决策20分、过程管理20分、项目产出20分、项目成本10分、项目效益20分、满意度指标10分。绩效评级为“优”。（优：90-100分，包含90分；良：80-90分，包含80分；中：60-80分，包含60分；差：60分以下）</w:t>
      </w:r>
    </w:p>
    <w:p w14:paraId="5C21AAD9">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14:paraId="72C45430">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14:paraId="2364D86B">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（一）项目决策情况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项目决策由3个二级指标和6个三级指标构成，权重分20分，实际得分20分。具体如下：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分值5分，得分5分。其中：立项依据充分性分值2分，得分2分；立项程序规范性分值3分，得分3分。该项目符合国家法律法规、国民经济发展规划和相关政策，符合行业发展规划和政策要求，与部门职责范围相符，属于部门履职所需，属于公共财政支持范围，符合中央、地方事权支出责任划分原则，该项目由自治区公路事业发展中心《关于下达2025年公路养护计划的通知》（新交公综计〔2025〕5号）、《关于下达2025年公路养护计划的通知》（新交公综计〔2025〕4号）、《关于下达2025年公路养护调整计划的通知》（新交公综计〔2025〕29号）进行了批复，并进行可行性研究、专家论证、风险评估、绩效评估。项目立项依据充分，符合</w:t>
      </w:r>
      <w:r>
        <w:rPr>
          <w:rStyle w:val="18"/>
          <w:rFonts w:hint="eastAsia" w:ascii="楷体" w:hAnsi="楷体" w:eastAsia="楷体"/>
          <w:spacing w:val="-4"/>
          <w:sz w:val="32"/>
          <w:szCs w:val="32"/>
          <w:lang w:eastAsia="zh-CN"/>
        </w:rPr>
        <w:t>《</w:t>
      </w:r>
      <w:r>
        <w:rPr>
          <w:rStyle w:val="18"/>
          <w:rFonts w:hint="eastAsia" w:ascii="楷体" w:hAnsi="楷体" w:eastAsia="楷体"/>
          <w:spacing w:val="-4"/>
          <w:sz w:val="32"/>
          <w:szCs w:val="32"/>
        </w:rPr>
        <w:t>中华人民共和国</w:t>
      </w:r>
      <w:r>
        <w:rPr>
          <w:rStyle w:val="18"/>
          <w:rFonts w:hint="eastAsia" w:ascii="楷体" w:hAnsi="楷体" w:eastAsia="楷体"/>
          <w:spacing w:val="-4"/>
          <w:sz w:val="32"/>
          <w:szCs w:val="32"/>
          <w:lang w:eastAsia="zh-CN"/>
        </w:rPr>
        <w:t>公路法》</w:t>
      </w:r>
      <w:bookmarkStart w:id="0" w:name="_GoBack"/>
      <w:bookmarkEnd w:id="0"/>
      <w:r>
        <w:rPr>
          <w:rStyle w:val="18"/>
          <w:rFonts w:hint="eastAsia" w:ascii="楷体" w:hAnsi="楷体" w:eastAsia="楷体"/>
          <w:spacing w:val="-4"/>
          <w:sz w:val="32"/>
          <w:szCs w:val="32"/>
        </w:rPr>
        <w:t>、中华人民共和国交通运输部发布的《公路养护工程管理办法》《公路桥涵施工技术规范》《公路养护技术规范》《公路桥涵养护规范》《公路隧道养护技术规范》《公路沥青路面预防性养护技术规范》《公路路基养护技术规范》《交通运输部关于进一步加强公路桥梁养护管理的若干意见》交公路发﹝2013﹞321号、《公路长大桥隧养护管理和安全运行若干规定》《公路桥梁养护管理工作制度》《新疆维吾尔自治区公路事业发展中心公路修复养护工程操作规程》《自治区公路事业发展中心应急养护管理制度》（交公路发〔2018〕33号）及《自治区公路管理局公路灾害预防、抢险及修复工程管理制度》等相关法律法规及行业要求，严格贯彻落实交通运输部、新疆交通运输厅、自治区公路事业发展中心相关的法律、法规、规范，落实《公路法》，严格履行部门职责，切实保障了所辖公路沿线设施完好，道路安全畅通，本项目属于公共财政支持范围，符合中央、地方事权支出责任划分原则，项目立项依据充分，没有重复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目标分值10分，得分10分。其中：绩效目标合理性分值5分，得分5分；绩效指标明确性分值5分，得分5分。该项目设置了绩效目标，且绩效目标与实际工作内容具有相关性，项目预期产出效益和效果符合正常的业绩水平，与预算确定的项目投资额或资金量相匹配，项目绩效目标明确，将项目绩效目标细化分解为具体的绩效指标，通过清晰、可衡量的指标值予以体现，与项目目标任务数或计划数相对应。绩效目标依据《新疆维吾尔自治区公路事业发展中心公路修复养护工程操作规程》《自治区公路事业发展中心公路灾害预防、抢险及修复工程管理制度》《交通运输部关于进一步提升公路安全保障水平的通知》（交公路函〔2018〕764号）及交通运输部《公路危旧桥梁改造行动方案》《交通运输部关于进一步提升公路桥梁安全耐久水平的意见》《公路沥青路面预防性养护技术规范》要求，严格按照“认识到位、措施过硬、严格管理”的要求，加强预防性养护，保持公路及其沿线设施良好的技术状况，项目绩效目标紧贴实际公路养护工程内容，项目预期产出效益和效果符合技术规范要求，与预算确定的项目投资额或资金量相匹配。项目绩效目标明确，细化分解为具体的绩效指标，通过清晰、可衡量的指标值予以体现，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分值5分，得分5分。其中预算编制科学性分值2分，得分2分；资金分配合理性分值3分，得分3分。该项目预算编制合理，经过科学论证，预算内容与项目内容相匹配，预算额度按照标准编制，测算依据充分，预算确定的项目投资额或资金量与工作任务相匹配，预算资金分配依据充分，资金分配额度合理，与实际相适应。其中，养护工程项目缺口资金365.06万元：已实施安全设施精细化提升工程：S101线K0-K21.615段公路安全设施精细化提升工程、S301线K102至K137段安全设施精细化提升工程、S301线K137至K225+963段安全设施精细化提升工程；公路灾害防治工程：S301线K128-K139段灾害防治工程，提升公路安全畅通水平。公路水毁抢修费260万元：根据《自治区公路管理局公路灾害预防、抢险及修复工程管理制度》要求，用于2025年发生水毁路段的抢修、抢险投入费用。</w:t>
      </w:r>
    </w:p>
    <w:p w14:paraId="7256018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14:paraId="79ED8507">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（二）项目过程情况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项目过程管理类指标由2个二级指标和5个三级指标构成，权重分20分，实际得分20分。具体如下：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管理分值12分，得分12分。其中资金到位率分值4分，得分4分，该项目预算资金625.06万元，到位资金625.06万元，实际支出资金625.06万元，资金到位率100%，预算执行率100%。预算执行率分值4分，得分4分，2024年度我单位实施的公路养护工程项目总金额625.06万元，主要完成S101线K0-K21.615段公路安全设施精细化提升工程、S301线K102至K137段安全设施精细化提升工程、S301线K137至K225+963段安全设施精细化提升工程；公路灾害防治工程：S301线K128-K139段灾害防治工程，提升公路安全畅通水平。完成2025年发生水毁路段的抢修、抢险工程，预算执行率100%；资金使用合规性分值4分，得分4分，项目实施过程中严格按照《新疆维吾尔自治区公路事业发展中心公路修复养护工程操作规程》的规定，对工程质量、工程变更、合同管理、计量支付、廉政建设、安全生产、文明施工、环境保护等进行全面管理。依照项目合同规定的计量方法、范围和内容，对验收合格、具备计量条件的分项工程，及时准确的计量支付，禁止超计，避免漏计，严控计量支付审核程序，有效控制了工程投资，预算执行合规、合理。公路水毁抢修费用260万元，通过项目验收合格后进行支付。该项目资金使用合规，符合国家财经法规和财务管理制度以及有关专项资金管理办法的规定，资金支付均具有完整的审批程序和手续，与预算批复内容相符，不存在截留、挤占、挪用、虚列支出等情况，计量支付批复程序符合《新疆维吾尔自治区公路事业发展中心公路修复养护工程操作规程》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组织实施分值8分，得分8分。其中管理制度健全性分值4分，得分4分，该项目组织实施工程中严格按照《新疆维吾尔自治区公路事业发展中心公路修复养护工程操作规程》执行，该项目财务和业务管理制度健全，且合法、合规、完整，制度执行遵守相关法律法规和相关管理规定。制度执行有效性分值4分，得分4分，项目严格落实《新疆维吾尔自治区公路事业发展中心公路修复养护工程操作规程》《新疆维吾尔自治区公路事业发展中心公路修复养护工程试验检测管理规程》等管理办法、手册，使工程项目在合同、质量、进度、费用、安全、环境、廉政等管理工作有章可循、有据可依，项目合同书、验收报告、技术鉴定等资料齐全并及时归档，项目实施的人员条件、场地设备、信息支撑等落实到位。</w:t>
      </w:r>
    </w:p>
    <w:p w14:paraId="60D5599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14:paraId="6CF694AE">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（三）项目产出情况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项目产出类指标由3个二级指标和6个三级指标构成，权重分20分，实际得分20分。具体如下：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①数量指标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按计划完成公路养护工程”指标，预期指标值为=4项，指标完成值为4项，完成率为100%，分值4分，得分4分。主要完成S101线K0-K21.615段公路安全设施精细化提升工程、S301线K102至K137段安全设施精细化提升工程、S301线K137至K225+963段安全设施精细化提升工程、S301线K128-K139段灾害防治工程，提升公路安全畅通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灾毁路段项目修复率”指标，预期指标值为=100%，指标完成值为100%，完成率为100%，分值4分，得分4分。所有水毁抢险工程发生后养护单位立即启动抢险应急预案，增加公路巡查频率，调运抢险物资设备，有序开展道路疏通、险情排查、设施抢修等抢险保通工作，全力以赴保障公路安全畅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②质量指标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公路养护工程竣工验收合格率”指标，预期指标值为100%，指标完成值为100%，完成率为100%，分值3分，得分3分。S101线K0-K21.615段公路安全设施精细化提升工程、S301线K102至K137段安全设施精细化提升工程、S301线K137至K225+963段安全设施精细化提升工程、S301线K128-K139段灾害防治工程均按时完成竣交工验收工作，质量评定合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“灾毁路段项目验收合格率”指标，预期指标值为100%，指标完成值为100%，完成率为100%，分值3分，得分3分。公路水毁抢修费用260万元，均通过项目验收合格后进行支付。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③时效指标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公路养护工程按计划开工率”指标，预期指标值为&gt;=95%，指标完成值为100%，完成率为100%，分值3分，得分3分。S101线K0-K21.615段公路安全设施精细化提升工程、S301线K102至K137段安全设施精细化提升工程、S301线K137至K225+963段安全设施精细化提升工程、S301线K128-K139段灾害防治工程均按计划开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灾毁路段修复及时率”指标，预期指标值为&gt;=95%，指标完成值为100%，完成率为100%，分值3分，得分3分。公路水毁发生后养护单位立即启动抢险应急预案，增加公路巡查频率，调运抢险物资设备，有序开展道路疏通、险情排查、设施抢修等抢险保通工作，全力以赴保障公路安全畅通。</w:t>
      </w:r>
    </w:p>
    <w:p w14:paraId="3597290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14:paraId="5CB4455B">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（四）项目效益情况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项目效益类指标由1个二级指标和1个三级指标构成，权重分20分，实际得分20分。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①社会效益指标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管养公路保畅通行率”指标，预期指标值为&gt;=95%，指标完成值为100%，完成率为100%，分值20分，得分20分。2025年我中心管养的622.78公里国省干线通过日常小修养护工作大大提高了道路通行率，全年未发生因道路不通畅而产生的不良影响。</w:t>
      </w:r>
    </w:p>
    <w:p w14:paraId="6AC1DB51">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（五）满意度指标完成情况分析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项目满意度指标由1个二级指标和1个三级指标构成，权重分10分，实际得分10分。具体如下：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“司乘人员满意度”指标，预期指标值为&gt;=85%，指标完成值为85.4%，完成率为100%，分值10分，得分10分。</w:t>
      </w:r>
    </w:p>
    <w:p w14:paraId="22CD7F90">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14:paraId="51D43B1A">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全面推进精细化管理、标准化施工。以施工图设计为依据，以施工规范为准则,明确项目管理程序，狠抓开工审批，材料进场、试验段验收、工序质量检测关，落实质量责任追究制度。通过程序化管理，对质量、进度实行双向控制，确保工程保质保量按期完工。二是充分发挥监理职能作用。开工前对监理进行业务能力考核、对工地试验室检查验收、检查试验设备数量、仪器标定情况，监督试验台账填写。施工中加强对监理履职情况检查，主要针对现场旁站、工序交验中发现的问题，监督整改落实，确保监理工作缜密有序，充分发挥监理职能。三是加强质量巡查、抽查力度，确保工程质量。公路养护工程项目执行办公室管理人员不定期进行质量检查和质量抽查，结合工地巡视单、整改通知等方式，强化质量意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养护工程项目在预算批复后，进入公开招投标程序，参建单位确定后开始组织实施，养护工程项目一般工期在3-5个月，项目基本在当年5-6月开工，10月-11月完工，有些项目受季节、温度、交通量、疫情等因素影响，项目进度缓慢，极大地影响了项目进度和资金支付。项目的验收、报送审计均滞后于计划时间，导致该项指标执行率较低。</w:t>
      </w:r>
    </w:p>
    <w:p w14:paraId="7FBF744E">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14:paraId="77B9376C">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根据养护工程项目总体工期要求，加强合同履约检查，保障工程建设期间人员、机械设备满足合同及施工要求。严控合同工期总目标，以周计划促月计划，以月计划促总体进度计划的完成，全体参建单位全力以赴，确保质量抢进度，在抢进度的同时抓安全，通过协调、统筹规划、合理安排，推进各项目顺利按期完工。建立健全项目执行实施督办责任制度，明确责任主体，对于计划内未实施的项目，应责成项目单位尽早启动，按计划工期有序实施；对于已实施未完工的项目，应责成限期完成。通过督办，加快落实项目绩效目标。</w:t>
      </w:r>
    </w:p>
    <w:p w14:paraId="51FD498B">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14:paraId="787DCAE5">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无其他说明内容</w:t>
      </w:r>
    </w:p>
    <w:p w14:paraId="0C048C31">
      <w:pPr>
        <w:spacing w:line="540" w:lineRule="exact"/>
        <w:ind w:firstLine="567"/>
        <w:rPr>
          <w:rStyle w:val="18"/>
          <w:rFonts w:ascii="仿宋" w:hAnsi="仿宋" w:eastAsia="仿宋"/>
          <w:b w:val="0"/>
          <w:spacing w:val="-4"/>
          <w:sz w:val="32"/>
          <w:szCs w:val="32"/>
        </w:rPr>
      </w:pPr>
    </w:p>
    <w:p w14:paraId="0E2EB2A4">
      <w:pPr>
        <w:spacing w:line="540" w:lineRule="exact"/>
        <w:ind w:firstLine="567"/>
        <w:rPr>
          <w:rStyle w:val="18"/>
          <w:rFonts w:ascii="仿宋" w:hAnsi="仿宋" w:eastAsia="仿宋"/>
          <w:b w:val="0"/>
          <w:spacing w:val="-4"/>
          <w:sz w:val="32"/>
          <w:szCs w:val="32"/>
        </w:rPr>
      </w:pPr>
    </w:p>
    <w:p w14:paraId="1C7849E2">
      <w:pPr>
        <w:spacing w:line="540" w:lineRule="exact"/>
        <w:ind w:firstLine="567"/>
        <w:rPr>
          <w:rStyle w:val="18"/>
          <w:rFonts w:ascii="仿宋" w:hAnsi="仿宋" w:eastAsia="仿宋"/>
          <w:b w:val="0"/>
          <w:spacing w:val="-4"/>
          <w:sz w:val="32"/>
          <w:szCs w:val="32"/>
        </w:rPr>
      </w:pPr>
    </w:p>
    <w:p w14:paraId="4739FF6E">
      <w:pPr>
        <w:spacing w:line="540" w:lineRule="exact"/>
        <w:ind w:firstLine="567"/>
        <w:rPr>
          <w:rStyle w:val="18"/>
          <w:rFonts w:ascii="仿宋" w:hAnsi="仿宋" w:eastAsia="仿宋"/>
          <w:b w:val="0"/>
          <w:spacing w:val="-4"/>
          <w:sz w:val="32"/>
          <w:szCs w:val="32"/>
        </w:rPr>
      </w:pPr>
    </w:p>
    <w:p w14:paraId="47F877E4">
      <w:pPr>
        <w:spacing w:line="540" w:lineRule="exact"/>
        <w:ind w:firstLine="567"/>
        <w:rPr>
          <w:rStyle w:val="18"/>
          <w:rFonts w:ascii="仿宋" w:hAnsi="仿宋" w:eastAsia="仿宋"/>
          <w:b w:val="0"/>
          <w:spacing w:val="-4"/>
          <w:sz w:val="32"/>
          <w:szCs w:val="32"/>
        </w:rPr>
      </w:pPr>
    </w:p>
    <w:p w14:paraId="06ED250B">
      <w:pPr>
        <w:spacing w:line="540" w:lineRule="exact"/>
        <w:ind w:firstLine="567"/>
        <w:rPr>
          <w:rStyle w:val="18"/>
          <w:rFonts w:ascii="仿宋" w:hAnsi="仿宋" w:eastAsia="仿宋"/>
          <w:b w:val="0"/>
          <w:spacing w:val="-4"/>
          <w:sz w:val="32"/>
          <w:szCs w:val="32"/>
        </w:rPr>
      </w:pPr>
    </w:p>
    <w:p w14:paraId="0AB6B471">
      <w:pPr>
        <w:spacing w:line="540" w:lineRule="exact"/>
        <w:ind w:firstLine="567"/>
        <w:rPr>
          <w:rStyle w:val="18"/>
          <w:rFonts w:ascii="仿宋" w:hAnsi="仿宋" w:eastAsia="仿宋"/>
          <w:b w:val="0"/>
          <w:spacing w:val="-4"/>
          <w:sz w:val="32"/>
          <w:szCs w:val="32"/>
        </w:rPr>
      </w:pPr>
    </w:p>
    <w:p w14:paraId="73FB4960">
      <w:pPr>
        <w:spacing w:line="540" w:lineRule="exact"/>
        <w:ind w:firstLine="567"/>
        <w:rPr>
          <w:rStyle w:val="18"/>
          <w:rFonts w:ascii="仿宋" w:hAnsi="仿宋" w:eastAsia="仿宋"/>
          <w:b w:val="0"/>
          <w:spacing w:val="-4"/>
          <w:sz w:val="32"/>
          <w:szCs w:val="32"/>
        </w:rPr>
      </w:pPr>
    </w:p>
    <w:p w14:paraId="4E978536">
      <w:pPr>
        <w:spacing w:line="540" w:lineRule="exact"/>
        <w:ind w:firstLine="567"/>
        <w:rPr>
          <w:rStyle w:val="18"/>
          <w:rFonts w:ascii="仿宋" w:hAnsi="仿宋" w:eastAsia="仿宋"/>
          <w:b w:val="0"/>
          <w:spacing w:val="-4"/>
          <w:sz w:val="32"/>
          <w:szCs w:val="32"/>
        </w:rPr>
      </w:pPr>
    </w:p>
    <w:p w14:paraId="49F4EBEC">
      <w:pPr>
        <w:spacing w:line="540" w:lineRule="exact"/>
        <w:ind w:firstLine="567"/>
        <w:rPr>
          <w:rStyle w:val="18"/>
          <w:rFonts w:ascii="仿宋" w:hAnsi="仿宋" w:eastAsia="仿宋"/>
          <w:b w:val="0"/>
          <w:spacing w:val="-4"/>
          <w:sz w:val="32"/>
          <w:szCs w:val="32"/>
        </w:rPr>
      </w:pPr>
    </w:p>
    <w:p w14:paraId="72ADACAA">
      <w:pPr>
        <w:spacing w:line="540" w:lineRule="exact"/>
        <w:ind w:firstLine="567"/>
        <w:rPr>
          <w:rStyle w:val="18"/>
          <w:rFonts w:ascii="仿宋" w:hAnsi="仿宋" w:eastAsia="仿宋"/>
          <w:b w:val="0"/>
          <w:spacing w:val="-4"/>
          <w:sz w:val="32"/>
          <w:szCs w:val="32"/>
        </w:rPr>
      </w:pPr>
    </w:p>
    <w:p w14:paraId="21EEBB37">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国标宋体-超大字符集扩"/>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altName w:val="国标宋体-超大字符集扩"/>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_GBK">
    <w:panose1 w:val="02000000000000000000"/>
    <w:charset w:val="86"/>
    <w:family w:val="auto"/>
    <w:pitch w:val="default"/>
    <w:sig w:usb0="00000001" w:usb1="08000000" w:usb2="00000000" w:usb3="00000000" w:csb0="00040000" w:csb1="00000000"/>
  </w:font>
  <w:font w:name="Cambria">
    <w:altName w:val="FreeSerif"/>
    <w:panose1 w:val="02040503050406030204"/>
    <w:charset w:val="00"/>
    <w:family w:val="roman"/>
    <w:pitch w:val="default"/>
    <w:sig w:usb0="00000000" w:usb1="00000000" w:usb2="02000000" w:usb3="00000000" w:csb0="2000019F" w:csb1="00000000"/>
  </w:font>
  <w:font w:name="FreeSerif">
    <w:panose1 w:val="02020603050405020304"/>
    <w:charset w:val="00"/>
    <w:family w:val="auto"/>
    <w:pitch w:val="default"/>
    <w:sig w:usb0="E59FAFFF" w:usb1="C200FDFF" w:usb2="43501B29" w:usb3="04000043" w:csb0="600101FF" w:csb1="FFFF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 w:name="方正小标宋_GBK">
    <w:panose1 w:val="02000000000000000000"/>
    <w:charset w:val="86"/>
    <w:family w:val="script"/>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国标宋体-超大字符集扩">
    <w:panose1 w:val="000005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978D83E">
        <w:pPr>
          <w:pStyle w:val="12"/>
          <w:jc w:val="center"/>
        </w:pPr>
        <w:r>
          <w:fldChar w:fldCharType="begin"/>
        </w:r>
        <w:r>
          <w:instrText xml:space="preserve">PAGE   \* MERGEFORMAT</w:instrText>
        </w:r>
        <w:r>
          <w:fldChar w:fldCharType="separate"/>
        </w:r>
        <w:r>
          <w:rPr>
            <w:lang w:val="zh-CN"/>
          </w:rPr>
          <w:t>1</w:t>
        </w:r>
        <w:r>
          <w:fldChar w:fldCharType="end"/>
        </w:r>
      </w:p>
    </w:sdtContent>
  </w:sdt>
  <w:p w14:paraId="4AA52EC5">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150E7A34"/>
    <w:rsid w:val="46BF0EBC"/>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113</Words>
  <Characters>648</Characters>
  <Lines>5</Lines>
  <Paragraphs>1</Paragraphs>
  <TotalTime>0</TotalTime>
  <ScaleCrop>false</ScaleCrop>
  <LinksUpToDate>false</LinksUpToDate>
  <CharactersWithSpaces>760</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2018-08-15T10:06:00Z</dcterms:created>
  <dc:creator>赵 恺（预算处）</dc:creator>
  <cp:lastModifiedBy>user</cp:lastModifiedBy>
  <cp:lastPrinted>2018-12-31T18:56:00Z</cp:lastPrinted>
  <dcterms:modified xsi:type="dcterms:W3CDTF">2026-09-07T16:51:52Z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160D1BA1944349B08C48068401F6E698</vt:lpwstr>
  </property>
</Properties>
</file>