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AF772A">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472CEBF9">
      <w:pPr>
        <w:spacing w:line="540" w:lineRule="exact"/>
        <w:jc w:val="center"/>
        <w:rPr>
          <w:rFonts w:ascii="华文中宋" w:hAnsi="华文中宋" w:eastAsia="华文中宋" w:cs="宋体"/>
          <w:b/>
          <w:kern w:val="0"/>
          <w:sz w:val="52"/>
          <w:szCs w:val="52"/>
        </w:rPr>
      </w:pPr>
    </w:p>
    <w:p w14:paraId="182EFC4A">
      <w:pPr>
        <w:spacing w:line="540" w:lineRule="exact"/>
        <w:jc w:val="center"/>
        <w:rPr>
          <w:rFonts w:ascii="华文中宋" w:hAnsi="华文中宋" w:eastAsia="华文中宋" w:cs="宋体"/>
          <w:b/>
          <w:kern w:val="0"/>
          <w:sz w:val="52"/>
          <w:szCs w:val="52"/>
        </w:rPr>
      </w:pPr>
    </w:p>
    <w:p w14:paraId="3F948DF8">
      <w:pPr>
        <w:spacing w:line="540" w:lineRule="exact"/>
        <w:jc w:val="center"/>
        <w:rPr>
          <w:rFonts w:ascii="华文中宋" w:hAnsi="华文中宋" w:eastAsia="华文中宋" w:cs="宋体"/>
          <w:b/>
          <w:kern w:val="0"/>
          <w:sz w:val="52"/>
          <w:szCs w:val="52"/>
        </w:rPr>
      </w:pPr>
    </w:p>
    <w:p w14:paraId="74252626">
      <w:pPr>
        <w:spacing w:line="540" w:lineRule="exact"/>
        <w:jc w:val="center"/>
        <w:rPr>
          <w:rFonts w:ascii="华文中宋" w:hAnsi="华文中宋" w:eastAsia="华文中宋" w:cs="宋体"/>
          <w:b/>
          <w:kern w:val="0"/>
          <w:sz w:val="52"/>
          <w:szCs w:val="52"/>
        </w:rPr>
      </w:pPr>
    </w:p>
    <w:p w14:paraId="1D68F034">
      <w:pPr>
        <w:spacing w:line="540" w:lineRule="exact"/>
        <w:jc w:val="center"/>
        <w:rPr>
          <w:rFonts w:ascii="华文中宋" w:hAnsi="华文中宋" w:eastAsia="华文中宋" w:cs="宋体"/>
          <w:b/>
          <w:kern w:val="0"/>
          <w:sz w:val="52"/>
          <w:szCs w:val="52"/>
        </w:rPr>
      </w:pPr>
    </w:p>
    <w:p w14:paraId="4A5B84B7">
      <w:pPr>
        <w:spacing w:line="540" w:lineRule="exact"/>
        <w:jc w:val="center"/>
        <w:rPr>
          <w:rFonts w:ascii="华文中宋" w:hAnsi="华文中宋" w:eastAsia="华文中宋" w:cs="宋体"/>
          <w:b/>
          <w:kern w:val="0"/>
          <w:sz w:val="52"/>
          <w:szCs w:val="52"/>
        </w:rPr>
      </w:pPr>
    </w:p>
    <w:p w14:paraId="1AD9FCC6">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69720100">
      <w:pPr>
        <w:spacing w:line="540" w:lineRule="exact"/>
        <w:jc w:val="center"/>
        <w:rPr>
          <w:rFonts w:ascii="华文中宋" w:hAnsi="华文中宋" w:eastAsia="华文中宋" w:cs="宋体"/>
          <w:b/>
          <w:kern w:val="0"/>
          <w:sz w:val="52"/>
          <w:szCs w:val="52"/>
        </w:rPr>
      </w:pPr>
    </w:p>
    <w:p w14:paraId="38579F87">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2025</w:t>
      </w:r>
      <w:r>
        <w:rPr>
          <w:rFonts w:hint="eastAsia" w:hAnsi="宋体" w:eastAsia="仿宋_GB2312" w:cs="宋体"/>
          <w:kern w:val="0"/>
          <w:sz w:val="36"/>
          <w:szCs w:val="36"/>
        </w:rPr>
        <w:t xml:space="preserve">  年度）</w:t>
      </w:r>
    </w:p>
    <w:p w14:paraId="5E88BF05">
      <w:pPr>
        <w:spacing w:line="540" w:lineRule="exact"/>
        <w:jc w:val="center"/>
        <w:rPr>
          <w:rFonts w:hAnsi="宋体" w:eastAsia="仿宋_GB2312" w:cs="宋体"/>
          <w:kern w:val="0"/>
          <w:sz w:val="30"/>
          <w:szCs w:val="30"/>
        </w:rPr>
      </w:pPr>
    </w:p>
    <w:p w14:paraId="090684FE">
      <w:pPr>
        <w:spacing w:line="540" w:lineRule="exact"/>
        <w:jc w:val="center"/>
        <w:rPr>
          <w:rFonts w:hAnsi="宋体" w:eastAsia="仿宋_GB2312" w:cs="宋体"/>
          <w:kern w:val="0"/>
          <w:sz w:val="30"/>
          <w:szCs w:val="30"/>
        </w:rPr>
      </w:pPr>
    </w:p>
    <w:p w14:paraId="12A7F77A">
      <w:pPr>
        <w:spacing w:line="540" w:lineRule="exact"/>
        <w:jc w:val="center"/>
        <w:rPr>
          <w:rFonts w:ascii="方正小标宋_GBK" w:hAnsi="宋体" w:eastAsia="方正小标宋_GBK" w:cs="宋体"/>
          <w:kern w:val="0"/>
          <w:sz w:val="36"/>
          <w:szCs w:val="36"/>
        </w:rPr>
      </w:pPr>
    </w:p>
    <w:p w14:paraId="33294725">
      <w:pPr>
        <w:spacing w:line="540" w:lineRule="exact"/>
        <w:jc w:val="center"/>
        <w:rPr>
          <w:rFonts w:hAnsi="宋体" w:eastAsia="仿宋_GB2312" w:cs="宋体"/>
          <w:kern w:val="0"/>
          <w:sz w:val="30"/>
          <w:szCs w:val="30"/>
        </w:rPr>
      </w:pPr>
    </w:p>
    <w:p w14:paraId="0BB33156">
      <w:pPr>
        <w:spacing w:line="540" w:lineRule="exact"/>
        <w:jc w:val="center"/>
        <w:rPr>
          <w:rFonts w:hAnsi="宋体" w:eastAsia="仿宋_GB2312" w:cs="宋体"/>
          <w:kern w:val="0"/>
          <w:sz w:val="30"/>
          <w:szCs w:val="30"/>
        </w:rPr>
      </w:pPr>
    </w:p>
    <w:p w14:paraId="72C3BD0E">
      <w:pPr>
        <w:spacing w:line="540" w:lineRule="exact"/>
        <w:jc w:val="center"/>
        <w:rPr>
          <w:rFonts w:hAnsi="宋体" w:eastAsia="仿宋_GB2312" w:cs="宋体"/>
          <w:kern w:val="0"/>
          <w:sz w:val="30"/>
          <w:szCs w:val="30"/>
        </w:rPr>
      </w:pPr>
    </w:p>
    <w:p w14:paraId="335543A0">
      <w:pPr>
        <w:spacing w:line="540" w:lineRule="exact"/>
        <w:rPr>
          <w:rFonts w:hAnsi="宋体" w:eastAsia="仿宋_GB2312" w:cs="宋体"/>
          <w:kern w:val="0"/>
          <w:sz w:val="30"/>
          <w:szCs w:val="30"/>
        </w:rPr>
      </w:pPr>
    </w:p>
    <w:p w14:paraId="51D66DC9">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7440D29">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公路运营管理</w:t>
      </w:r>
    </w:p>
    <w:p w14:paraId="2E2FC1F3">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喀什公路管理局</w:t>
      </w:r>
    </w:p>
    <w:p w14:paraId="1327F1F8">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喀什公路管理局</w:t>
      </w:r>
    </w:p>
    <w:p w14:paraId="3E2507C7">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雪合来提·乌买尔江</w:t>
      </w:r>
    </w:p>
    <w:p w14:paraId="7F38D1A3">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2026年03月23日</w:t>
      </w:r>
    </w:p>
    <w:p w14:paraId="11B293A0">
      <w:pPr>
        <w:spacing w:line="700" w:lineRule="exact"/>
        <w:ind w:firstLine="708" w:firstLineChars="236"/>
        <w:jc w:val="left"/>
        <w:rPr>
          <w:rFonts w:hAnsi="宋体" w:eastAsia="仿宋_GB2312" w:cs="宋体"/>
          <w:kern w:val="0"/>
          <w:sz w:val="30"/>
          <w:szCs w:val="30"/>
        </w:rPr>
      </w:pPr>
    </w:p>
    <w:p w14:paraId="68AF3883">
      <w:pPr>
        <w:spacing w:line="540" w:lineRule="exact"/>
        <w:rPr>
          <w:rStyle w:val="18"/>
          <w:rFonts w:ascii="黑体" w:hAnsi="黑体" w:eastAsia="黑体"/>
          <w:b w:val="0"/>
          <w:spacing w:val="-4"/>
          <w:sz w:val="32"/>
          <w:szCs w:val="32"/>
        </w:rPr>
      </w:pPr>
    </w:p>
    <w:p w14:paraId="71C006A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6529D4E4">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14:paraId="207BE3C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喀什公路事业发展中心2025年养护里程1719.049公里，按行政等级分5条国道1151.298公里、5条省道405.235公里、8条专用公路162.516公里。按技术等级分高速公路185.089公里、一级公路104.966公里、二级公路1117.44公里、三级公路267.152公里、四级公路44.4公里；管养隧道1座2635延米，桥梁726座42469.22延米，均为永久性桥梁；其中：特大桥5座6385.04延米，大桥63座14834.12延米，中桥205座11762.1延米，小桥453座9487.96延米，涵洞3091道。下辖8个养护所、12个收费站、4个服务区，担负着喀什地区境内国道、省道、G3012高速公路，口岸、边防公路和专用公路及沿线服务设施的养护和运营管理工作，辖区G3012、S13、S16等经营性公路的监管工作，以及公路交通战备、灾害应急处置、抢险救灾等工作。当前，我国公路养护管理进入高质量发展新阶段，《“十四五”公路养护管理发展纲要》明确提出要推动公路养护管理向规范化、精细化、智慧化转型，注重设施数字化、养护专业化、管理现代化、运行高效化、服务优质化，全面提升公路养护管理水平，满足人民群众美好出行新期待，发挥公路在加快建设交通强国中的主力军作用。同时，交通运输部关于推进公路数字化转型、加快智慧公路建设的相关要求，进一步明确了要推动公路建设、管理、养护、运行、服务全流程数字化转型，提升公路运行效能和服务水平。在此行业背景下，喀什公路事业发展中心的公路养护运营管理工作面临着更高的标准和更严的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2.项目实施主体</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喀什公路事业发展中心前身为喀什公路总段，成立于1951年，2010年12月更名为喀什公路管理局，2011年4月正式揭牌，2025年1月1日正式更名喀什公路事业发展中心。是自治区公路事业发展中心驻喀单位，主要负责喀什地区国道、省道、高速公路、口岸、边防公路和管辖范围内专用公路的养护管理，以及公路沿线服务设施的管理；负责非经营性收费公路的运营与管理；负责辖区内经营性收费公路的监管工作；负责管养路线范围内的行政事项审批工作等。根据新疆维吾尔自治区公路管理局《关于喀什公路管理局岗位设置方案的通知》新公管组人[2021]81号文件，喀什公路事业发展中心编制数871人。2025年年末实有人数2207人。其中：在职职工896人（在编544人、聘用制收费员352人），离退休职工960人（离休人员2人，退休职工958人），遗属351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资金专项用于喀什公路事业发展中心公路养护运营管理全链条工作，覆盖路况监测、战备保障、应急管理、服务运营、智慧建设、行业监管、行政许可、设施维护、后勤保障等核心环节，全面支撑公路运营管理规范化、精细化、智慧化开展，具体涵盖交通情况调查、交通战备落实、应急救援演练开展、便民公厕日常运营管理；公路养护管理专项子系统数据维护、公路基础数据动态更新；法律顾问服务采购、公路安防体系建设；经营性公路行业监管、涉路施工行政许可审批；公路轻量化检测、养护业务全流程管理；国省干线公路品质提升高质量发展三年攻坚行动推进、G314线智慧公路建设实施；计重秤台定期标定，收费公路机电系统运行与维护；服务区、收费站日常运营维护及污水、垃圾规范化清运；公路服务设施升级改造；银行收款押运等工作，通过各项费用精准投入，保障公路养护运营管理各项工作有序、高效落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开展以下工作，且各项工作均取得显著实施效果：一是全面提升公路服务保障水平。对中心下辖12个收费站、4个服务区开展常态化污水清运、垃圾规范化处理及日常运营管理，持续保障公路服务设施基础服务能力；完成苏巴什服务区污水处理设备升级改造，进一步提升服务区污水处置效率和环保水平，优化服务配套；对沿线三岔口、托卡伊、盖孜3个便民公厕开展日常巡检、维护保洁，确保设施完好、使用顺畅，切实满足过往司乘人员出行便利需求。二是着力强化公路应急处突能力。组织开展钢架桥架设专项演练，以及地震防范、防灾减灾、桥梁抢险、道路保通等多场景应急处突救援演练，有效锤炼养护队伍应急处置技能，提升实战救援能力；同步推进公路安防体系建设，完善安防配套设施，筑牢公路运营安全防线。三是持续提升公路技术状况与通行能力。深入推进国省干线公路品质提升高质量发展三年攻坚行动，全面改善公路路况水平；加快G314智慧公路建设落地，推动公路养护向智慧化、精细化转型；常态化开展收费公路机电系统全流程运行监测与维护，及时排查处置设备故障，确保全线收费系统、监控系统、隧道配套机电设施等稳定运行、通畅高效，保障公路通行效率。四是稳步提升公路数据化管理水平。系统开展交通情况常态化调查，精准掌握路网运行数据；严格做好公路养护管理专项子系统数据维护、公路基础数据动态更新，保障数据真实、准确、及时；全面推进公路轻量化检测与养护业务数字化管理，以数据化手段赋能养护决策、优化养护流程，强化公路养护管理科学化、精细化水平。五是从严抓实行业监管与行政许可服务。常态化开展G3012、S13、S16等经营性公路行业监管，精准掌握运营状况，督促整改问题，规范运营行为；依法依规开展喀什地区范围内涉路施工行政许可受理、审核及审批工作，优化审批流程、提升服务效率，切实保障群众合法涉路需求，维护公路路产路权。六是做实做细运营配套保障工作。定期开展收费站计重秤台专业标定，确保计量精准、收费规范；常态化落实银行收款押运工作，严格保障收费站资金流转安全，全方位确保各收费站日常运营有序、稳定开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（1）项目资金安排落实、总投入等情况分析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公路运营管理项目预算安排总额为1810.15万元，其中财政资金1810.15万元，其他资金0万元，2025年实际收到预算资金1810.15万元，预算资金到位率为100%。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（2）项目资金实际使用情况分析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支付资金1757.1153万元，预算执行率97.07%。项目资金主要用于交通情况调查34.4万元、交通战备20万元、应急救援演练12万元、便民公厕管理10.5万元、公路养护管理专项子系统数据维护3万元、公路基础数据更新1.8万元、法律顾问5万元、公路安防33.99万元、经营性公路行业监管33.19万元、涉路施工行政许可审批11.596万元、公路轻量化检测12万元、国省干线公路品质提升高质量发展三年攻坚行动46万元、G314线智慧公路建设192.37万元、计重秤台定期标定12.79万元、收费公路机电系统运行与维护1149.76万元、服务区运营维护67.5123万元、服务区、收费站污水、垃圾清运44.16万元、公路服务设施升级改造40.447万元；银行收款押运21.6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结余结转情况主要如下：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涉路施工行政许可审批购买行政执法记录仪结余0.104万元，已上缴；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公路服务区运营维护费结转5.4877万元，共计两个项目，其一采购补充服务区（站）服务设施项目3.6万元，已通过专题会议组织政采云平台竞价采购，但是供货商不足三家原因导致流标；其二按照新疆维吾尔自治区人民政府办公厅关于加强社会用语用字规范管理工作的通知（新政办发〔2025〕22号）通知精神，服务区综合楼名称牌更新项目1.8877万元；以上两个项目5.4877万元结转至2026年执行，预计2026年 6 月底前使用完毕。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公路服务设施改造结余47.443万元。其中结转38.4983万元。该项目结转原因是：①苏巴什服务区污水设施扩建第一次通过招标代理组织以“设计+采购+施工”总承包（EPC）模式公开招投标，于8月7日开标，由于递交投标文件服务商不足3家原因流标。11月7日经党委会议研究审议后，于11月20日招标代理发布苏巴什服务区污水设施扩建项目竞争性谈判公告，11月25日中标，12月5日与中标单位中景宏基建设集团有限公司以47.158万元中标价签订施工合同。</w:t>
      </w:r>
      <w:bookmarkStart w:id="0" w:name="_GoBack"/>
      <w:bookmarkEnd w:id="0"/>
      <w:r>
        <w:rPr>
          <w:rStyle w:val="18"/>
          <w:rFonts w:hint="eastAsia" w:ascii="楷体" w:hAnsi="楷体" w:eastAsia="楷体"/>
          <w:spacing w:val="-4"/>
          <w:sz w:val="32"/>
          <w:szCs w:val="32"/>
          <w:lang w:eastAsia="zh-CN"/>
        </w:rPr>
        <w:t>截至</w:t>
      </w:r>
      <w:r>
        <w:rPr>
          <w:rStyle w:val="18"/>
          <w:rFonts w:hint="eastAsia" w:ascii="楷体" w:hAnsi="楷体" w:eastAsia="楷体"/>
          <w:spacing w:val="-4"/>
          <w:sz w:val="32"/>
          <w:szCs w:val="32"/>
        </w:rPr>
        <w:t>目前，按照合同约定支付30%动员预付款14.1474万元，剩余33.0106万元结转至2026年项目完工验收后支付；13.6361万元为公路服务设施改造项目招标结余，0.796296万元为项目审计核减工程款。</w:t>
      </w:r>
    </w:p>
    <w:p w14:paraId="7E085124">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14:paraId="793371EA">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总体目标为以习近平新时代中国特色社会主义思想为指导，深入贯彻落实交通强国建设要求，立足喀什地区公路运营管理实际，围绕“安全、畅通、高效、优质、智慧”核心导向，全面优化公路养护运营管理全链条工作，推动管理模式向规范化、精细化、智慧化转型。通过完善管理体系、强化设施保障、提升服务质量、夯实技术支撑，实现辖区1719.049公里管养公路路网稳定运行、设施完好达标、服务便捷优质、应急响应高效，全面完成国省干线公路品质提升、智慧公路建设等重点任务，切实履行交通战备、灾害应急处置、经营性公路监管等职责，为喀什地区经济社会高质量发展、民生改善和边防巩固提供坚实的公路交通保障。最终实现“路网更安全、养护更精准、服务更优质、管理更高效、智慧更凸显”的总体愿景，确保管养桥梁、隧道、涵洞等设施完好率达标，收费站、服务区运营规范有序，应急处置能力全面提升，智慧管理水平显著增强，行业监管效能持续优化，全面满足公众出行和区域发展的多层次、高品质交通需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我单位制定了喀什公路事业发展中心内控制度，结合我单位相关规章制度以及财务相关资料，对项目进行评价。因2025年公路运营管理项目中包含大量材料采购、服务外包等事项，此类事项需严格按照规定开展招投标、政府采购等工作，前期筹备周期较长，导致5月份项目执行进度相对缓慢，执行率执行41.73%。为加快项目推进、提升预算执行效能，自5月份起，我单位每月定期召开预算执行情况通报及推进会议，明确各责任科室工作时限与责任分工，督促各科室加快各项工作落地落实，同时强化资金结算管理，多措并举提高预算执行率。截至8月底，全年公路运营管理各项工作任务完成率达到62.79%；2025年底，全面完成各项项目指标，确保项目任务100%落地见效。</w:t>
      </w:r>
    </w:p>
    <w:p w14:paraId="7F35294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14:paraId="7DB10A2E">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157BEFCF">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开展本次部门绩效评价工作，全面了解该项目预算编制的合理性、资金使用的合规性、项目管理的规范性、项目目标的实现情况、服务对象的满意度等，从中总结经验及教训，促进项目成果转化和应用，为今后类似项目的长效管理，提供可行性参考建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2.绩效评价对象和范围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此次我单位根据《项目支出绩效评价管理办法》（财预〔2020〕10号）文件要求对2025年度我单位实施的公路运营管理项目开展部门绩效评价，项目总金额1810.15万元。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主要围绕项目资金使用情况、财务管理状况和资产配置、使用、处置及其收益管理情况；项目管理相关制度及措施是否被认真执行；绩效目标的实现程度，包括是否达到预定产出和效果等方面进行部门绩效评价。</w:t>
      </w:r>
    </w:p>
    <w:p w14:paraId="6F6C6550">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14:paraId="08532BB3">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预算法》、《中共中央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公路运营管理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根据以上原则，绩效评价应遵循如下要求：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（2）保证评价结果的真实性、公正性，提高评价报告的公信力。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（3）绩效评价报告应当简明扼要，除了对绩效评价的过程、结果描述外，还应总结经验，指出问题，并就共性问题提出可操作性改进建议。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我单位根据项目的实施资料研读及前期调研，结合项目的实际开展情况，将项目的指标体系进行了调整和完善，最终形成了项目绩效评价指标体系。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我单位已将项目绩效评价指标体系模板上传到系统中。上传文件包括评价指标体系，项目评分表，下发模板填写后的评价报告。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评价方法采用比较法，将项目实施情况与绩效目标进行比较，把项目实际完成指标情况与年度指标值进行对比，形成评价结果。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单位自评采用定量与定性评价相结合的比较法，将项目实施情况与绩效目标进行比较，把项目实际完成指标情况与年度指标值进行对比，形成评价结果。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评价标准参照计划标准，以预先制定的目标、计划、预算、定额等作为评价标准。</w:t>
      </w:r>
    </w:p>
    <w:p w14:paraId="153C266A">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5B9C5919">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本次评价成立了评价工作组，成员如下：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1.评价组组长：衣不拉音江·卡德，职责：负责喀什公路事业发展中心绩效评价总体工作，工作内容：审批绩效自评方案,监督、检查、核实绩效自评结果;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组成员：雷焱，职责：主要负责基本费用绩效评价，工作内容：起草和修改绩效考评方案报自评领导工作组会议讨论通过，实施执行绩效自评方案；牵头组织并实施年度绩效自评，根据组长指示，对考评结果进行复核，完成绩效评价工作组安排的其他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组成员：高丽亚，职责：主要负责专项费用绩效评价，工作内容：起草和修改绩效考评方案报自评领导工作组会议讨论通过，实施执行绩效自评方案；牵头组织并实施年度绩效自评，根据组长指示，对考评结果进行复核，完成绩效评价工作组安排的其他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绩效评价工作成立评价工作组，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p>
    <w:p w14:paraId="31C4AA46">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14:paraId="651CD3AD">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此次绩效评价通过组论证的评价指标体系及评分标准，采用的方法为比较法，对公路运营管理项目绩效进行客观评价，最终评分结果：总分为100分，其中：项目决策20分、过程管理20分、项目产出20分、项目成本10分、项目效益20分、满意度指标10分。绩效评级为“优”。</w:t>
      </w:r>
    </w:p>
    <w:p w14:paraId="57D44C93">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14:paraId="7FF05FA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14:paraId="7D8FC524">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项目决策由3个二级指标和6个三级指标构成，权重分20分，实际得分20分。具体如下：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分值5分，得分5分。其中：立项依据充分性分值2分，得分2分；立项程序规范性分值3分，得分3分。该项目符合国家法律法规、国民经济发展规划和相关政策，符合行业发展规划和政策要求，符合《公路工程质量检验评定标准 第二册 机电工程》（JTG F80/2）、新疆维吾尔自治区实施《中华人民共和国公路法》办法、《新疆维吾尔自治区收费公路管理办法》（新疆维吾尔自治区人民政府令第184号，2011年施行）、《新疆维吾尔自治区高速公路条例》（2022年施行）、《新疆维吾尔自治区收费公路联网收费管理办法（试行）》、《关于进一步做好称重检测设施检定工作的通知》（新交公收费【2022】14号）、《网络安全法》、《公共安全视频图像信息系统管理条例》、《网络安全等级保护条例》《网络安全等级保护基本要求》（GB/T 22239-2019）《交通运输行业网络安全等级保护定级指南》、《交通运输关键信息基础设施安全保护条例》、《交通运输行业网络安全等级保护测评规范》等相关制度要求，与喀什公路事业发展中心部门职责范围相符，属于部门履职所需，属于公共财政支持范围，符合中央、地方事权支出责任划分原则，项目没有重复立项，立项依据充分；该项目按照规定的程序申请设立，审批文件、材料符合相关要求，事前已经过必要的可行性研究、专家论证、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目标分值10分，得分10分。其中：绩效目标合理性分值5分，得分5分；绩效指标明确性分值5分，得分5分。该项目设置了绩效目标，且绩效目标与实际工作内容具有相关性，项目预期产出效益和效果符合正常的业绩水平，与预算确定的项目投资额或资金量相匹配，设立目标时喀什公路事业发展中心各责任科室对全中心管养收费站、服务区、便民公厕、机电系统、交通量观测站、各运行系统等进行科学分析，制定专项工作计划，按照运营管理全年重点工作任务和预期达到的目标，参考历年费用下达情况，设定各项产出目标，并经喀什公路事业发展中心绩效评价工作组审定，确定各项绩效目标。项目绩效目标明确，将项目绩效目标细化分解为具体的绩效指标，通过清晰、可衡量的指标值予以体现，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分值5分，得分5分。其中预算编制科学性分值2分，得分2分；资金分配合理性分值3分，得分3分。该项目预算编制合理，经过科学论证，预算内容与项目内容相匹配，预算额度按照标准编制，测算依据充分，预算确定的项目投资额或资金量与工作任务相匹配，预算资金分配依据充分，资金分配额度合理，与实际相适应。测算标准按照交通运输部《关于印发全国高速公路服务区服务质量等级评定办法的通知》（交公路规〔2025〕4号）文件、《收费公路机电系统运行维护费用预算标准》、《关于印发收费站配置标准的通知》（新交综〔2005〕313号）等相关文件要求，测算公路运营管理费用。</w:t>
      </w:r>
    </w:p>
    <w:p w14:paraId="3315701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14:paraId="7385761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项目过程管理类指标由2个二级指标和5个三级指标构成，权重分20分，实际得分20分。具体如下：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管理分值12分，得分12分。其中资金到位率分值4分，得分4分；预算执行率分值4分，得分4分；资金使用合规性分值4分，得分4分。该项目预算资金1810.15万元，到位资金1810.15万元，实际支出资金1757.1153万元，资金到位率100.00%，预算执行率97.07%。该项目资金使用合规，符合国家财经法规和财务管理制度以及有关专项资金管理办法的规定，资金支付均具有完整的审批程序和手续，与预算批复内容相符，不存在截留、挤占、挪用、虚列支出等情况。下达资金全部用于公路运营管理工作，并经专题会、党委会研究，下达至各责任科室，费用分解合理、有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组织实施分值8分，得分8分。其中管理制度健全性分值4分，得分4分；制度执行有效性分值4分，得分4分。该项目财务和业务管理制度健全，且合法、合规、完整，制度执行遵守相关法律法规和相关管理规定，项目调整及支出调整手续完备，项目合同书、验收报告、技术鉴定等资料齐全并及时归档，项目实施的人员条件、场地设备、信息支撑等落实到位。公路运营管理项目实施按照《公路工程质量检验评定标准 第二册 机电工程》（JTG F80/2）、新疆维吾尔自治区实施《中华人民共和国公路法》办法、《新疆维吾尔自治区收费公路管理办法》（新疆维吾尔自治区人民政府令第184号，2011年施行）、《新疆维吾尔自治区高速公路条例》（2022年施行）、《新疆维吾尔自治区收费公路联网收费管理办法（试行）》、《关于进一步做好称重检测设施检定工作的通知》（新交公收费【2022】14号）、《网络安全法》、《公共安全视频图像信息系统管理条例》、《网络安全等级保护条例》《网络安全等级保护基本要求》（GB/T 22239-2019）《交通运输行业网络安全等级保护定级指南》、《交通运输关键信息基础设施安全保护条例》、《交通运输行业网络安全等级保护测评规范》等相关制度实施，实施过程中，喀什公路事业发展中心围绕提升公路服务能力，优化出行条件等内容，从服务设施、路域环境等方面提高要求、提高标准，发挥示范引领作用。</w:t>
      </w:r>
    </w:p>
    <w:p w14:paraId="6B85BDD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14:paraId="2CAC6E83">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项目产出类指标由3个二级指标和7个三级指标构成，权重分30分，实际得分30分。具体如下：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①数量指标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“在用服务区（停车区）、便民公厕运营维护覆盖率”指标，预期指标值为=100%，指标完成值为100%，完成率为100%，分值5分，得分5分。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“收费公路机电系统运行、维护覆盖率”指标，预期指标值为=100%，指标完成值为100%，完成率为100%，分值5分，得分5分。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“完成公路、桥梁、隧道应急演练次数”指标，预期指标值为≥2次，指标完成值为2此，完成率为100%，分值5分，得分5分。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“经营性公路监管覆盖率”指标，预期指标值为=100%，指标完成值为100%，完成率为100%，分值5分，得分5分。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②质量指标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“交调自动观测站点正常运转率”指标，预期指标值为≥95%，指标完成值为100%，完成率为100%，分值2.5分，得分2.5分。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“收费公路机电系统正常运转率”指标，预期指标值为≥95%，指标完成值为100%，完成率为100%，分值2.5分，得分2.5分。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③时效指标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“自治区公路收费联网收费系统故障响应处理时效”指标，预期指标值为≤2小时，指标完成值为2小时，完成率为100%，分值5分，得分5分。</w:t>
      </w:r>
    </w:p>
    <w:p w14:paraId="2D5E42F0">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14:paraId="1A84D840">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项目效益类指标由1个二级指标和1个三级指标构成，权重分20分，实际得分20分。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①社会效益指标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“管养公路保畅通行率”指标，预期指标值为≥95%，指标完成值为100%，完成率为100%，分值20分，得分20分。</w:t>
      </w:r>
    </w:p>
    <w:p w14:paraId="4FE95EF0">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项目满意度指标由1个二级指标和1个三级指标构成，权重分10分，实际得分10分。具体如下：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“司乘人员满意度”指标，预期指标值为≥85%，指标完成值为85%，完成率为100%，分值10分，得分10分。</w:t>
      </w:r>
    </w:p>
    <w:p w14:paraId="70E135F7">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14:paraId="1957A7F0">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经过自评，该项目按照财政部设定的绩效目标较好完成，未出现偏离情况。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针对公路运营管理预算执行率提升工作，喀什公路事业发展中心党委高度重视、统筹部署，多措并举推动各项工作落地见效，积累了贴合辖区公路运营管理实际的经验做法。一是强化统筹引领，压实主体责任，中心党委多次召开预算执行情况推进会，牵头组织财务、养护、运营等相关科室，深入分析预算执行滞后原因，精准研判堵点难点，明确工作方向和推进路径，严格落实各科室、各养护所预算执行主体责任，形成“党委统筹、科室协同、层层落实”的工作格局。二是细化过程管控，紧盯进度节点，建立预算执行动态监测机制，及时梳理项目实际支付情况，安排专人跟办执行进度较低的项目，全程跟踪推进情况、协调解决实施难题；明确阶段性进度节点，以7月30日、8月30日、9月30日为时间节点，分别设定60%、70%、80%的预算执行率目标，倒逼各责任主体加快工作进度。三是优化前期谋划，强化源头管控，督促各业务科室、各养护所提前梳理年度工作任务，对未规划项目的资金提早进行科学测算、合理安排，结合公路养护、设施维护、服务运营等核心工作需求，优化资金分配方案，提前做好招投标、政府采购等前期筹备工作的预判和规划，减少前期工作滞后对预算执行的影响。四是强化协同联动，提升执行效能，加强财务科室与业务科室、养护所的协同配合，建立信息共享机制，及时对接项目进展与资金支付情况，简化资金结算流程、加快结算进度，确保资金及时拨付、高效使用，推动预算执行与业务工作同频同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结合2025年公路运营管理工作实际，在推进过程中仍存在一些问题，主要集中在预算执行进度和管理统筹两个方面，具体分析如下：一是管理统筹难度大，公路运营管理工作涵盖路况监测、设施维护、应急保障、服务运营、智慧建设等多个核心环节，涉及指标种类繁多，且对应管理部门分散，各科室、各养护所的工作侧重点不同，缺乏统一的统筹协调机制，导致部分工作衔接不畅、效率不高，难以实现全流程、一体化管理。二是预算执行进度受前期工作影响显著，公路运营管理项目中包含大量材料采购、服务外包、设施升级改造等事项，此类事项需严格按照政府采购、公开招投标等相关规定推进，前期审批、公告、评标等流程耗时较长，导致部分项目无法及时启动实施，影响前期预算执行进度。三是部分指标支付周期制约执行效率，部分项目指标为按季度支付，受支付周期限制，前期资金拨付进度较慢，无法及时匹配项目实施进度，进一步影响了整体预算执行的推进速度。四是部分岗位人员业务能力有待提升，少数工作人员对预算管理、招投标流程、资金结算等相关政策和业务知识掌握不够熟练，在项目推进和资金使用过程中存在流程不规范、衔接不及时等问题，间接影响了预算执行效能。</w:t>
      </w:r>
    </w:p>
    <w:p w14:paraId="108867CE">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14:paraId="362D573C">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针对上述存在的问题，结合喀什公路运营管理工作目标和实际需求，提出以下改进建议，推动公路运营管理工作提质增效、规范有序：一是强化统筹协调，健全管理体系，成立公路运营管理统筹协调小组，统筹各科室、各养护所的工作推进，明确各部门职责分工，建立常态化协同联动机制，加强各环节工作衔接，打破部门壁垒，实现运营管理全链条、一体化管控，提升管理效率。二是优化前期工作流程，缩短筹备周期，提前谋划年度项目，对需开展招投标、政府采购的项目，提前梳理相关需求，做好前期调研、方案编制、审批报备等工作，合理安排时间节点，优化招投标、采购流程，简化不必要的审批环节，加快前期工作推进速度，为项目实施和预算执行争取时间。三是优化指标支付管理，提升执行灵活性，积极与财政部门沟通对接，结合公路运营管理项目的实施特点，对按季度支付的指标，争取优化支付周期或采用分阶段支付方式，根据项目实际推进进度及时拨付资金，确保资金支付与项目实施同步，提升预算执行效率。四是加强人员培训，提升业务能力，定期组织开展预算管理、招投标流程、资金结算、政策法规等相关业务培训，覆盖各科室、各养护所相关工作人员，提升其业务素养和实操能力，规范工作流程，减少因业务不熟练导致的工作滞后问题。五是完善动态监测与考核机制，强化过程管控，进一步细化预算执行动态监测措施，实时跟踪项目进展和资金使用情况，及时发现并解决执行过程中的堵点难点；将预算执行率纳入各科室、各养护所年度考核，明确考核标准，强化考核结果运用，倒逼责任落实，确保各项工作按时保质完成。六是强化智慧化支撑，提升管理效能，加快推进G314线智慧公路建设和公路养护管理专项子系统优化升级，利用数字化手段实现项目管理、预算执行、进度监测的智能化管控，提升决策科学性和工作高效性，助力预算执行率持续提升。</w:t>
      </w:r>
    </w:p>
    <w:p w14:paraId="1C8BA3D1">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14:paraId="39F925D1">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无其他说明内容。</w:t>
      </w:r>
    </w:p>
    <w:p w14:paraId="2CEAF6D3">
      <w:pPr>
        <w:spacing w:line="540" w:lineRule="exact"/>
        <w:ind w:firstLine="567"/>
        <w:rPr>
          <w:rStyle w:val="18"/>
          <w:rFonts w:ascii="仿宋" w:hAnsi="仿宋" w:eastAsia="仿宋"/>
          <w:b w:val="0"/>
          <w:spacing w:val="-4"/>
          <w:sz w:val="32"/>
          <w:szCs w:val="32"/>
        </w:rPr>
      </w:pPr>
    </w:p>
    <w:p w14:paraId="3F3FE331">
      <w:pPr>
        <w:spacing w:line="540" w:lineRule="exact"/>
        <w:ind w:firstLine="567"/>
        <w:rPr>
          <w:rStyle w:val="18"/>
          <w:rFonts w:ascii="仿宋" w:hAnsi="仿宋" w:eastAsia="仿宋"/>
          <w:b w:val="0"/>
          <w:spacing w:val="-4"/>
          <w:sz w:val="32"/>
          <w:szCs w:val="32"/>
        </w:rPr>
      </w:pPr>
    </w:p>
    <w:p w14:paraId="09994E82">
      <w:pPr>
        <w:spacing w:line="540" w:lineRule="exact"/>
        <w:ind w:firstLine="567"/>
        <w:rPr>
          <w:rStyle w:val="18"/>
          <w:rFonts w:ascii="仿宋" w:hAnsi="仿宋" w:eastAsia="仿宋"/>
          <w:b w:val="0"/>
          <w:spacing w:val="-4"/>
          <w:sz w:val="32"/>
          <w:szCs w:val="32"/>
        </w:rPr>
      </w:pPr>
    </w:p>
    <w:p w14:paraId="601A3288">
      <w:pPr>
        <w:spacing w:line="540" w:lineRule="exact"/>
        <w:ind w:firstLine="567"/>
        <w:rPr>
          <w:rStyle w:val="18"/>
          <w:rFonts w:ascii="仿宋" w:hAnsi="仿宋" w:eastAsia="仿宋"/>
          <w:b w:val="0"/>
          <w:spacing w:val="-4"/>
          <w:sz w:val="32"/>
          <w:szCs w:val="32"/>
        </w:rPr>
      </w:pPr>
    </w:p>
    <w:p w14:paraId="394113D1">
      <w:pPr>
        <w:spacing w:line="540" w:lineRule="exact"/>
        <w:ind w:firstLine="567"/>
        <w:rPr>
          <w:rStyle w:val="18"/>
          <w:rFonts w:ascii="仿宋" w:hAnsi="仿宋" w:eastAsia="仿宋"/>
          <w:b w:val="0"/>
          <w:spacing w:val="-4"/>
          <w:sz w:val="32"/>
          <w:szCs w:val="32"/>
        </w:rPr>
      </w:pPr>
    </w:p>
    <w:p w14:paraId="7C1B1054">
      <w:pPr>
        <w:spacing w:line="540" w:lineRule="exact"/>
        <w:ind w:firstLine="567"/>
        <w:rPr>
          <w:rStyle w:val="18"/>
          <w:rFonts w:ascii="仿宋" w:hAnsi="仿宋" w:eastAsia="仿宋"/>
          <w:b w:val="0"/>
          <w:spacing w:val="-4"/>
          <w:sz w:val="32"/>
          <w:szCs w:val="32"/>
        </w:rPr>
      </w:pPr>
    </w:p>
    <w:p w14:paraId="0C921024">
      <w:pPr>
        <w:spacing w:line="540" w:lineRule="exact"/>
        <w:ind w:firstLine="567"/>
        <w:rPr>
          <w:rStyle w:val="18"/>
          <w:rFonts w:ascii="仿宋" w:hAnsi="仿宋" w:eastAsia="仿宋"/>
          <w:b w:val="0"/>
          <w:spacing w:val="-4"/>
          <w:sz w:val="32"/>
          <w:szCs w:val="32"/>
        </w:rPr>
      </w:pPr>
    </w:p>
    <w:p w14:paraId="3281C7EF">
      <w:pPr>
        <w:spacing w:line="540" w:lineRule="exact"/>
        <w:ind w:firstLine="567"/>
        <w:rPr>
          <w:rStyle w:val="18"/>
          <w:rFonts w:ascii="仿宋" w:hAnsi="仿宋" w:eastAsia="仿宋"/>
          <w:b w:val="0"/>
          <w:spacing w:val="-4"/>
          <w:sz w:val="32"/>
          <w:szCs w:val="32"/>
        </w:rPr>
      </w:pPr>
    </w:p>
    <w:p w14:paraId="5289955D">
      <w:pPr>
        <w:spacing w:line="540" w:lineRule="exact"/>
        <w:ind w:firstLine="567"/>
        <w:rPr>
          <w:rStyle w:val="18"/>
          <w:rFonts w:ascii="仿宋" w:hAnsi="仿宋" w:eastAsia="仿宋"/>
          <w:b w:val="0"/>
          <w:spacing w:val="-4"/>
          <w:sz w:val="32"/>
          <w:szCs w:val="32"/>
        </w:rPr>
      </w:pPr>
    </w:p>
    <w:p w14:paraId="36DD9993">
      <w:pPr>
        <w:spacing w:line="540" w:lineRule="exact"/>
        <w:ind w:firstLine="567"/>
        <w:rPr>
          <w:rStyle w:val="18"/>
          <w:rFonts w:ascii="仿宋" w:hAnsi="仿宋" w:eastAsia="仿宋"/>
          <w:b w:val="0"/>
          <w:spacing w:val="-4"/>
          <w:sz w:val="32"/>
          <w:szCs w:val="32"/>
        </w:rPr>
      </w:pPr>
    </w:p>
    <w:p w14:paraId="323D7859">
      <w:pPr>
        <w:spacing w:line="540" w:lineRule="exact"/>
        <w:ind w:firstLine="567"/>
        <w:rPr>
          <w:rStyle w:val="18"/>
          <w:rFonts w:ascii="仿宋" w:hAnsi="仿宋" w:eastAsia="仿宋"/>
          <w:b w:val="0"/>
          <w:spacing w:val="-4"/>
          <w:sz w:val="32"/>
          <w:szCs w:val="32"/>
        </w:rPr>
      </w:pPr>
    </w:p>
    <w:p w14:paraId="43A137EC">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国标宋体-超大字符集扩"/>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altName w:val="国标宋体-超大字符集扩"/>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_GBK">
    <w:panose1 w:val="02000000000000000000"/>
    <w:charset w:val="86"/>
    <w:family w:val="auto"/>
    <w:pitch w:val="default"/>
    <w:sig w:usb0="00000001" w:usb1="08000000" w:usb2="00000000" w:usb3="00000000" w:csb0="00040000" w:csb1="00000000"/>
  </w:font>
  <w:font w:name="Cambria">
    <w:altName w:val="FreeSerif"/>
    <w:panose1 w:val="02040503050406030204"/>
    <w:charset w:val="00"/>
    <w:family w:val="roman"/>
    <w:pitch w:val="default"/>
    <w:sig w:usb0="00000000" w:usb1="00000000" w:usb2="02000000" w:usb3="00000000" w:csb0="2000019F" w:csb1="00000000"/>
  </w:font>
  <w:font w:name="FreeSerif">
    <w:panose1 w:val="02020603050405020304"/>
    <w:charset w:val="00"/>
    <w:family w:val="auto"/>
    <w:pitch w:val="default"/>
    <w:sig w:usb0="E59FAFFF" w:usb1="C200FDFF" w:usb2="43501B29" w:usb3="04000043" w:csb0="600101FF" w:csb1="FFFF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00000001" w:usb1="080E0800" w:usb2="00000002" w:usb3="00000000" w:csb0="00040000" w:csb1="00000000"/>
  </w:font>
  <w:font w:name="方正小标宋_GBK">
    <w:panose1 w:val="02000000000000000000"/>
    <w:charset w:val="86"/>
    <w:family w:val="script"/>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5A36A366">
        <w:pPr>
          <w:pStyle w:val="12"/>
          <w:jc w:val="center"/>
        </w:pPr>
        <w:r>
          <w:fldChar w:fldCharType="begin"/>
        </w:r>
        <w:r>
          <w:instrText xml:space="preserve">PAGE   \* MERGEFORMAT</w:instrText>
        </w:r>
        <w:r>
          <w:fldChar w:fldCharType="separate"/>
        </w:r>
        <w:r>
          <w:rPr>
            <w:lang w:val="zh-CN"/>
          </w:rPr>
          <w:t>1</w:t>
        </w:r>
        <w:r>
          <w:fldChar w:fldCharType="end"/>
        </w:r>
      </w:p>
    </w:sdtContent>
  </w:sdt>
  <w:p w14:paraId="7F907F6C">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 w:val="4FAC025F"/>
    <w:rsid w:val="7FF9E11B"/>
    <w:rsid w:val="E46F8D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113</Words>
  <Characters>648</Characters>
  <Lines>5</Lines>
  <Paragraphs>1</Paragraphs>
  <TotalTime>0</TotalTime>
  <ScaleCrop>false</ScaleCrop>
  <LinksUpToDate>false</LinksUpToDate>
  <CharactersWithSpaces>760</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2018-08-15T10:06:00Z</dcterms:created>
  <dc:creator>赵 恺（预算处）</dc:creator>
  <cp:lastModifiedBy>user</cp:lastModifiedBy>
  <cp:lastPrinted>2018-12-31T18:56:00Z</cp:lastPrinted>
  <dcterms:modified xsi:type="dcterms:W3CDTF">2026-09-07T16:57:36Z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160D1BA1944349B08C48068401F6E698</vt:lpwstr>
  </property>
</Properties>
</file>