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因地方政策、历史原因等补助性项目支出</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新疆维吾尔自治区交通建设管理局机关服务中心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新疆维吾尔自治区交通建设管理局机关服务中心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石新民</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2026年03月11日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为进一步提升职工收入水平，落实社会保障政策，同时保障交通建设管理局机关服务中心各类工作长期有效开展，建立长效保障机制，有效的改善职工的生活质量，提升生活水平。根据财政部最新印发的《项目支出绩效评价管理办法》（财预【2020】10）号文件规定及自治区财政厅为做好2025年度预算绩效评价工作做出的工作要求，我单位在上级主管部门的支持下，此项专项费用支出稳步进行。</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部门职能：根据新疆维吾尔自治区机构编制委员会，新机编[2010]33号文件，关于印发《新疆维吾尔自治区交通建设系统机构编制方案》的通知。事业性质为全额预算拨款事业单位，主要职责：新疆交通建设管理局机关办公与职工生活提供后勤服务、机关办公服务、机关后勤服务、承办机关委托事项及相关社会服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（2）人员编制：新疆交通建设管理局机关服务中心是独立编制、独立核算的财政补助事业单位。我单位核定编制人数10人。截至2025年12月31日, 实有事业在编人员为6人，退休人员13人。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2025年财政预算安排对因地方政策、历史原因等补助性项目支出专项资金26.35万元，用于我单位劳务派遣人员工资及社保、因公残疾抚恤金项目中。其中劳务派遣人员工资及社保24.26万元；因公残疾抚恤金2.09万元，截止到2025年12月底完成了全部专项计划。</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因地方政策、历史原因等补助性项目预算安排总额为26.35万元，其中财政资金26.35万元，其他资金0.00万元，2025年实际收到预算资金26.35万元，预算资金到位率为100%。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本项目实际支付资金26.35万元，预算执行率100%。项目资金主要用于支付劳务派遣人员工资及社保24.26万元、因公残疾抚恤金2.09万元。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交通建设管理局机关服务中心全年的工作任务，该项目资金全部使用在劳务派遣人员工资及社保、因公残疾抚恤金项目上。从项目审核情况来看，预算资金的合理使用、安排，可以提高预算绩效管理及资金使用效率。在执行过程中严格执行交通建设管理局财务管理制度，预算管理制度，单位内控制度，加强财政资金拨付管理，保障资金使用安全，提高财政资金使用效率。我中心从预算到决算都进行信息公开，严格按照相关制度要求进行，有效保证了机构运转，圆满完成上级单位下达的目标任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预算法》的规定，我单位制定《新疆交通建设管理局财务管理内控制度》、《新疆交通建设管理局绩效评价管理办法》、《项目支出绩效评价管理办法》等相关管理制度，结合项目实施单位的规章制度以及财务相关资料，对项目进行评价，通过在5月底、8月底两个节点监控项目执行情况，提升预算执行质量。</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此次我单位根据《项目支出绩效评价管理办法》（财预〔2020〕10号）文件要求对2025年度我单位实施的因地方政策、历史原因等补助性项目开展部门绩效评价，项目总金额26.35万元。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综合事务管理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单位自评采用定量与定性评价相结合的比较法，将项目实施情况与绩效目标进行比较，把项目实际完成指标情况与年度指标值进行对比，形成评价结果。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计划标准，以预先制定的目标、计划、预算、定额等作为评价标准。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1.评价组组长：石新民，职责：负责绩效评价工作的统一部署，统筹把控绩效评价工作的总体决策，工作内容：审批绩效评价方案，监督项目预算编制是否合理、资金使用是否依法合规;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2.评价组成员：黄建华，职责：负责协助组长对绩效评价工作进行统一部署，同时对各部门工作进行指导，工作内容：监督项目管理是否规范可控，有效促进绩效评价工作的实施;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张丽梅、艾克拜尔、谷黎明，职责：负责依据考评原则和考评程序，对所属部门申报的项目进行绩效考核目标制定、监测及自评，工作内容：及时开展绩效评价工作，按时准确报送绩效评价的相关资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成本四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因地方政策、历史原因等补助性项目支出项目绩效进行客观评价，最终评分结果：总分为100分，其中：项目决策20分、项目过程20分、项目产出40分、项目成本20分。绩效评级为“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一级指标</w:t>
      </w:r>
      <w:r>
        <w:rPr>
          <w:rStyle w:val="17"/>
          <w:rFonts w:hint="eastAsia" w:ascii="楷体" w:hAnsi="楷体" w:eastAsia="楷体"/>
          <w:spacing w:val="-4"/>
          <w:sz w:val="32"/>
          <w:szCs w:val="32"/>
        </w:rPr>
        <w:tab/>
        <w:t>权重分</w:t>
      </w:r>
      <w:r>
        <w:rPr>
          <w:rStyle w:val="17"/>
          <w:rFonts w:hint="eastAsia" w:ascii="楷体" w:hAnsi="楷体" w:eastAsia="楷体"/>
          <w:spacing w:val="-4"/>
          <w:sz w:val="32"/>
          <w:szCs w:val="32"/>
        </w:rPr>
        <w:tab/>
        <w:t>得分</w:t>
      </w:r>
      <w:r>
        <w:rPr>
          <w:rStyle w:val="17"/>
          <w:rFonts w:hint="eastAsia" w:ascii="楷体" w:hAnsi="楷体" w:eastAsia="楷体"/>
          <w:spacing w:val="-4"/>
          <w:sz w:val="32"/>
          <w:szCs w:val="32"/>
        </w:rPr>
        <w:tab/>
        <w:t>得分率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项目决策</w:t>
      </w:r>
      <w:r>
        <w:rPr>
          <w:rStyle w:val="17"/>
          <w:rFonts w:hint="eastAsia" w:ascii="楷体" w:hAnsi="楷体" w:eastAsia="楷体"/>
          <w:spacing w:val="-4"/>
          <w:sz w:val="32"/>
          <w:szCs w:val="32"/>
        </w:rPr>
        <w:tab/>
        <w:t>20</w:t>
      </w:r>
      <w:r>
        <w:rPr>
          <w:rStyle w:val="17"/>
          <w:rFonts w:hint="eastAsia" w:ascii="楷体" w:hAnsi="楷体" w:eastAsia="楷体"/>
          <w:spacing w:val="-4"/>
          <w:sz w:val="32"/>
          <w:szCs w:val="32"/>
        </w:rPr>
        <w:tab/>
        <w:t>20</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项目过程</w:t>
      </w:r>
      <w:r>
        <w:rPr>
          <w:rStyle w:val="17"/>
          <w:rFonts w:hint="eastAsia" w:ascii="楷体" w:hAnsi="楷体" w:eastAsia="楷体"/>
          <w:spacing w:val="-4"/>
          <w:sz w:val="32"/>
          <w:szCs w:val="32"/>
        </w:rPr>
        <w:tab/>
        <w:t>20</w:t>
      </w:r>
      <w:r>
        <w:rPr>
          <w:rStyle w:val="17"/>
          <w:rFonts w:hint="eastAsia" w:ascii="楷体" w:hAnsi="楷体" w:eastAsia="楷体"/>
          <w:spacing w:val="-4"/>
          <w:sz w:val="32"/>
          <w:szCs w:val="32"/>
        </w:rPr>
        <w:tab/>
        <w:t>20</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项目产出</w:t>
      </w:r>
      <w:r>
        <w:rPr>
          <w:rStyle w:val="17"/>
          <w:rFonts w:hint="eastAsia" w:ascii="楷体" w:hAnsi="楷体" w:eastAsia="楷体"/>
          <w:spacing w:val="-4"/>
          <w:sz w:val="32"/>
          <w:szCs w:val="32"/>
        </w:rPr>
        <w:tab/>
        <w:t>40</w:t>
      </w:r>
      <w:r>
        <w:rPr>
          <w:rStyle w:val="17"/>
          <w:rFonts w:hint="eastAsia" w:ascii="楷体" w:hAnsi="楷体" w:eastAsia="楷体"/>
          <w:spacing w:val="-4"/>
          <w:sz w:val="32"/>
          <w:szCs w:val="32"/>
        </w:rPr>
        <w:tab/>
        <w:t>40</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项目成本</w:t>
      </w:r>
      <w:r>
        <w:rPr>
          <w:rStyle w:val="17"/>
          <w:rFonts w:hint="eastAsia" w:ascii="楷体" w:hAnsi="楷体" w:eastAsia="楷体"/>
          <w:spacing w:val="-4"/>
          <w:sz w:val="32"/>
          <w:szCs w:val="32"/>
        </w:rPr>
        <w:tab/>
        <w:t>20</w:t>
      </w:r>
      <w:r>
        <w:rPr>
          <w:rStyle w:val="17"/>
          <w:rFonts w:hint="eastAsia" w:ascii="楷体" w:hAnsi="楷体" w:eastAsia="楷体"/>
          <w:spacing w:val="-4"/>
          <w:sz w:val="32"/>
          <w:szCs w:val="32"/>
        </w:rPr>
        <w:tab/>
        <w:t>20</w:t>
      </w:r>
      <w:r>
        <w:rPr>
          <w:rStyle w:val="17"/>
          <w:rFonts w:hint="eastAsia" w:ascii="楷体" w:hAnsi="楷体" w:eastAsia="楷体"/>
          <w:spacing w:val="-4"/>
          <w:sz w:val="32"/>
          <w:szCs w:val="32"/>
        </w:rPr>
        <w:tab/>
        <w:t>100%</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根据单位实际情况，科学合理的安排项目资金。用于我单位劳务派遣人员工资及社保、因公残疾抚恤金项目中。保障局单位办公楼和办公区及院落的正常运转，本单位根据实际情况，申报该项目资金。该项目符合国家法律法规、国民经济发展规划和相关政策，符合行业发展规划和政策要求，与部门职责范围相符，属于部门履职所需，属于公共财政支持范围，符合中央、地方事权支出责任划分原则，该项目通过交通建设管理局机关服务中心党支部会议纪要进行了可行性研究、专家论证、风险评估、绩效评估。按照《预算法》、《中共中央国务院关于全面实施预算绩效管理的意见》规定的程序申请设立，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绩效目标分值10分，得分10分。其中：绩效目标合理性分值5分，得分5分；绩效指标明确性分值5分，得分5分。根据本单位年度重点任务分解工作内容，设置年度重点任务分解考核指标，通过互联网办公可以方便信息的传递和共享，确保年度重点任务分解工作落实到各科室之间，形成完整统一的体系，提高办事效率。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管理分值12分，得分12分。其中资金到位率分值4分，得分4分；预算执行率分值4分，得分4分；资金使用合规性分值4分，得分4分。该项目预算资金26.35万元，到位资金26.35万元，实际支出资金26.35万元，资金到位率100%，预算执行率100%。该项目资金使用合规，符合国家财经法规和财务管理制度以及有关专项资金管理办法的规定，资金支付均具有完整的审批程序和手续，与预算批复内容相符，不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项目产出类指标由3个二级指标和5个三级指标构成，权重分40分，实际得分40分。具体如下：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“发放人员补助次数”指标，预期指标值为12次，指标完成值为12次，完成率为100%，分值8分，得分8分。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“发放人员补助人数”指标，预期指标值为8人，指标完成值为8人，完成率为100%，分值8分，得分8分。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“发放伤残人员补助人数”指标，预期指标值为1人，指标完成值为1人，完成率为100%，分值8分，得分8分。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“工资发放覆盖率”指标，预期指标值为100%，指标完成值为100%，完成率为100%，分值8分，得分8分。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“资金发放(补助)及时性”指标，预期指标值为100%，指标完成值为100%，完成率为100%，分值8分，得分8分。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项目成本类指标由1个二级指标和2个三级指标构成，权重分20分，实际得分20分。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①经济成本指标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“发放伤残人员(补助)资金数”指标，预期指标值为2.09万元，指标完成值为2.09万元，完成率为100%，分值10分，得分10分。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“每次发放人员(补助)资金数”指标，预期指标值为2.02万元，指标完成值为2.02万元，完成率为100%，分值10分，得分10分。                           经过自评，该项目按照财政部设定的绩效目标较好完成，未出现偏离情况。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该项目资金执行率达到100%，指标实际完成率达到100%。</w:t>
      </w:r>
    </w:p>
    <w:p>
      <w:pPr>
        <w:spacing w:line="540" w:lineRule="exact"/>
        <w:ind w:firstLine="567"/>
        <w:rPr>
          <w:rStyle w:val="17"/>
          <w:rFonts w:hint="eastAsia" w:ascii="楷体" w:hAnsi="楷体" w:eastAsia="楷体"/>
          <w:spacing w:val="-4"/>
          <w:sz w:val="32"/>
          <w:szCs w:val="32"/>
        </w:rPr>
      </w:pP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1、专项经费按照“花钱必问效、无效必问责”的绩效理念、“谁设置目标、谁进行评价”的绩效原则，各业务科室是预算绩效评价的责任主体。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指定专人负责预算绩效管理工作，合力推进绩效管理与预算管理的同步融合，实现财政资金事前、事中、事后全程管理，最大限度提高资金使用效能和提升资金管理科学化、规范化水平。我单位各项工作实施及资金使用情况均在绩效目标设定时限完成，预算安排的基本支出保障了正常的人员、公用经费运转，预算安排的项目支出非常必要，在执行及项目资金的使用方面严格遵守各项财经纪律，严守法律底线、纪律底线、道德底线。</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1、缺乏科学的预算绩效管理指标体系。目前我国缺乏有效的绩效评价指标体系，大部分地方都没有建立科学的评价指标，没有科学、合理的评价标准，无法保证评价结果的客观性、有效性。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2、预算绩效管理工作体系尚不完善。规划的前瞻性、科学性、指导性和可操作性还有待提高。绩效考核目标、考核指标和评分标准模糊，考核指标的确立科学性、可行性有待提高。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3、编制项目支出预算没有做到准确性，没有合理分配预算项目资金。</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4、自评结果未与预算分配、人员激励挂钩,发现问题后缺乏整改计划和跟踪机制。</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5、缺乏信息化系统支持，数据采集依赖手工填报，效率低且易出错。</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1、在预算管理过程中，需加强本单位内设机构的协调联动，保证预算编制的精细，并加强与财政部门的沟通和协调，确保预算资金的及时下达。</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2、强化项目资金成本控制意识，尽力准确编制确定项目支出预算，合理分配项目资金计划，避免项目执行大幅超支情况的发生，维护资金计划预算的严肃性。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3、设定的考核指标要尽可能准确、并且多用量化的客观标准，具体措施有：首先可以通过调查问卷等方式与被考核项目执行科室一同讨论制定，提高其对目标的接受程度和对绩效体系的理解、支持。</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73F64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2026-09-02T10:13:12Z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