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7"/>
          <w:rFonts w:hint="eastAsia" w:ascii="楷体" w:hAnsi="楷体" w:eastAsia="楷体"/>
          <w:spacing w:val="-4"/>
          <w:sz w:val="32"/>
          <w:szCs w:val="32"/>
        </w:rPr>
        <w:t>2025</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ascii="方正小标宋_GBK" w:hAnsi="宋体" w:eastAsia="方正小标宋_GBK" w:cs="宋体"/>
          <w:kern w:val="0"/>
          <w:sz w:val="36"/>
          <w:szCs w:val="36"/>
        </w:rPr>
      </w:pPr>
      <w:bookmarkStart w:id="0" w:name="_GoBack"/>
      <w:bookmarkEnd w:id="0"/>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7"/>
          <w:rFonts w:hint="eastAsia" w:ascii="楷体" w:hAnsi="楷体" w:eastAsia="楷体"/>
          <w:spacing w:val="-4"/>
          <w:sz w:val="32"/>
          <w:szCs w:val="32"/>
        </w:rPr>
        <w:t>综合业务管理</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7"/>
          <w:rFonts w:hint="eastAsia" w:ascii="楷体" w:hAnsi="楷体" w:eastAsia="楷体"/>
          <w:spacing w:val="-4"/>
          <w:sz w:val="28"/>
          <w:szCs w:val="28"/>
        </w:rPr>
        <w:t>新疆维吾尔自治区交通运输厅应急指挥与联网收费中心</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7"/>
          <w:rFonts w:hint="eastAsia" w:ascii="楷体" w:hAnsi="楷体" w:eastAsia="楷体"/>
          <w:spacing w:val="-4"/>
          <w:sz w:val="28"/>
          <w:szCs w:val="28"/>
        </w:rPr>
        <w:t>新疆维吾尔自治区交通运输厅应急指挥与联网收费中心</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7"/>
          <w:rFonts w:hint="eastAsia" w:ascii="楷体" w:hAnsi="楷体" w:eastAsia="楷体"/>
          <w:spacing w:val="-4"/>
          <w:sz w:val="32"/>
          <w:szCs w:val="32"/>
        </w:rPr>
        <w:t>张云飞</w:t>
      </w:r>
    </w:p>
    <w:p>
      <w:pPr>
        <w:spacing w:line="540" w:lineRule="exact"/>
        <w:ind w:left="273" w:firstLine="567"/>
        <w:rPr>
          <w:rStyle w:val="17"/>
          <w:rFonts w:ascii="楷体" w:hAnsi="楷体" w:eastAsia="楷体"/>
          <w:spacing w:val="-4"/>
          <w:sz w:val="32"/>
          <w:szCs w:val="32"/>
        </w:rPr>
      </w:pPr>
      <w:r>
        <w:rPr>
          <w:rFonts w:hint="eastAsia" w:hAnsi="宋体" w:eastAsia="仿宋_GB2312" w:cs="宋体"/>
          <w:kern w:val="0"/>
          <w:sz w:val="36"/>
          <w:szCs w:val="36"/>
        </w:rPr>
        <w:t>填报时间：</w:t>
      </w:r>
      <w:r>
        <w:rPr>
          <w:rStyle w:val="17"/>
          <w:rFonts w:hint="eastAsia" w:ascii="楷体" w:hAnsi="楷体" w:eastAsia="楷体"/>
          <w:spacing w:val="-4"/>
          <w:sz w:val="32"/>
          <w:szCs w:val="32"/>
        </w:rPr>
        <w:t>2026年03月16日</w:t>
      </w:r>
    </w:p>
    <w:p>
      <w:pPr>
        <w:spacing w:line="700" w:lineRule="exact"/>
        <w:ind w:firstLine="708" w:firstLineChars="236"/>
        <w:jc w:val="left"/>
        <w:rPr>
          <w:rFonts w:hAnsi="宋体" w:eastAsia="仿宋_GB2312" w:cs="宋体"/>
          <w:kern w:val="0"/>
          <w:sz w:val="30"/>
          <w:szCs w:val="30"/>
        </w:rPr>
      </w:pPr>
    </w:p>
    <w:p>
      <w:pPr>
        <w:spacing w:line="540" w:lineRule="exact"/>
        <w:rPr>
          <w:rStyle w:val="17"/>
          <w:rFonts w:ascii="黑体" w:hAnsi="黑体" w:eastAsia="黑体"/>
          <w:b w:val="0"/>
          <w:spacing w:val="-4"/>
          <w:sz w:val="32"/>
          <w:szCs w:val="32"/>
        </w:rPr>
      </w:pP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一、基本情况</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（一）项目概况。包括项目背景、主要内容及实施情况、资金投入和使用情况等。</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为进一步加强新疆维吾尔自治区交通运输厅应急指挥与联网收费中心的运行维折管理，我区有速公路视频云联网工程建设，目前已完成了我区高速公路与全国高速公路视频云联网，实现了全国高速公路"一张网"运行目标"，为进一步加强新疆维吾尔自治区交通运输厅应急指挥与联网收费中心的运行维护管理，保障交通运输厅应急指挥与联网收费中心各项软硬件设备及各业务系统的正常运行，充分发挥交通运输厅应急指挥与联网收费中心在突发事件应急指挥，决策及处置工作中的三要作用，不断提升中心应急处置水平，进而对交通运输厅应急指挥与联网收费中心进行全方位的运维，通过对交通运输厅应急指挥与联网收费中心各项系统进行运维，实现对交通运输厅应急指挥与联网收费中心系统有效的监控和管理，及时掌握系统的现状，及时发现问题并解决，从而保障系统的可靠，高效，持续，安全运行，更好地为中心工作提供强有力的保障。2025年度综合业务管理费预算共计13项，累计金额 260万元。预算明细如下：一、应急指挥大厅运维、应急通信指挥平台运维及全区国省干线路网运行监测分析260万元。</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1、交通运输部应急指挥平台技术支持65.8万元。（维保单位“中国交通通信信息中心”收取）；（1）、交通移动应急通信指挥平台设备运维养护（委托）费45.2万元/年。（应急指挥系统软硬件维保、突发事件应急保障技术支持、系统升级、全国备品备件库的统筹统配等）（2）、交通移动应急通信指挥平台通信传输、卫星租用及交通部视频会议链路费等（委托）费20.6万元/年。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2、应急指挥中心设备及操控系统运行维护合同45万元。（与运维单位（时讯立维）签署运维服务合同，运维服务内容包括：应急指挥中心机房光纤交换机、数据库服务器、应用服务器、GIS服务器、磁盘阵列、新风机设备、柜式空调等日常运维、检测、软件升级等；乌-奎、吐-乌-大、和-库等高速公路视频监控专用网络维护保养等，5人驻场7*24小时）；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3、全区国省干线路网运行监测分析研究报告服务费用30万元/年。编制参照以往类似研究类课题编制费用情况，根据相关规定和工作内容，经测算，工作经费共计30万元。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4、全区路网运行监测预警与服务管理平台运行维护费30万元。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5、新疆维吾尔自治区公路交通公众出行信息服务网站及微信公众号系统工程技术系统维护35万元，详见服务合同；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6、信息设备国有化替换及办公设施5.14万元。互联网笔记本2台，单价7000元，合计14000元;A3 彩色打印机1台，单价15000元，合计15000元;A4黑白打印机1台，单价2000元，合计2000元;三人沙发2套，单价4500元，合计9000元;办公椅3张，单价800元，合计2400元;办公桌3张，单价3000元，合计9000元。</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7、关键信息系统网络安全等级保护、风险评估、环境测评费用8万元；</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8、监控大厅基础保障系统1.7万元。（UPS蓄电池组、机房精密空调维保（华顺）合同） ；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9、与铁路、民航、邮政等单位数据对接专线费用25万元/年；</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10、移动公司通信链路租用合同1.92万元；</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11、电信公司通信链路租用合同6.9万元。</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12、与新疆广电网络股份有限公司签订网络租赁合同，一个月1500元，一年1.8万元。</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13、安全生产指挥中心正常运维费用3.74万元/年。</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（二）项目绩效目标。包括总体目标和阶段性目标。</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总体目标：严格按照预算管理及资金使用相关规定，规范资金分配，拨付与使用流程，强化绩效导向，提高资金使用效率和效益，确保资金安全、合规、高效运行、圆满完成年度各项工作任务。</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阶段性目标： 根据《中华人民共和国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周期、实施进度，分阶段明确评价重点与改进方向，保障项目按计划有序推进，提升预算执行质量。</w:t>
      </w: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二、</w:t>
      </w:r>
      <w:r>
        <w:rPr>
          <w:rStyle w:val="17"/>
          <w:rFonts w:hint="eastAsia"/>
          <w:spacing w:val="-4"/>
          <w:sz w:val="32"/>
          <w:szCs w:val="32"/>
        </w:rPr>
        <w:t>绩效评价工作开展情况</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（一）绩效评价目的、对象和范围。</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1.绩效评价目的: 通过开展部门绩效评价工作，落实预算绩效管理要求，全面了解该项目预算编制的合理性、资金使用的合规性、项目管理的规范性、项目目标的实现情况、服务对象的满意度等，规范绩效信息公开，提高资金使用的透明度，接受主管部门监督。</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绩效评价对象和范围:本单位根据《项目支出绩效评价管理办法》（财预〔2020〕10号）文件要求对2025年度我单位实施的综合业务管理费项目开展部门绩效评价，项目总金额260万元，2025年度完成260万元，完成率100%。。本次绩效评价主要围绕项目资金使用情况、财务管理状况和资产配置、使用、处置及其收益管理情况；项目管理相关制度及措施是否被认真执行；绩效目标的实现程度，包括是否达到预定产出和效果等方面进行部门绩效评价。</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（二）绩效评价原则、评价指标体系（附表说明）、评价方法、评价标准等。</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1.绩效评价原则</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依据《预算法》、《中共中央国务院关于全面实施预算绩效管理的意见》（中发〔2018〕34号）、《自治区党委自治区人民政府关于全面实施预算绩效管理的实施意见》（新党发〔2018〕30号）、《自治区财政支出绩效评价管理暂行办法》（新财预〔2018〕189号）等要求，本次绩效评价秉承科学规范、公正公开、分级分类、绩效相关等原则，按照从投入、过程到产出效果和影响的绩效逻辑路径，结合综合业务管理费项目实际开展情况，运用定量和定性分析相结合的方法，总结经验做法，反思项目实施和管理中的问题，以切实提升财政资金管理的科学化、规范化和精细化水平。</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根据以上原则，绩效评价应遵循如下要求：</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（1）在数据采集时，采取客观数据与测评调查相结合的形式，以保证各项指标的真实性。</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（2）保证评价结果的真实性、公正性，提高评价报告的公信力。</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（3）绩效评价报告除了对绩效评价的过程、结果描述外，还应总结经验，指出问题，并就共性问题提出可操作性改进建议。</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2.绩效评价指标体系</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本单位根据项目的实际情况，对指标体系进行了调整和完善，最终形成了项目绩效评价指标体系，已将项目绩效评价指标体系模板上传到系统中。</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3.评价方法</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评价方法采用比较法、公众评判法等，将项目实施情况与绩效目标进行比较，把项目实际完成指标情况与年度指标值进行对比，形成评价结果。</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三级指标分析环节：</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（1）定量指标分析环节：主要采用比较法，对比三级指标预期指标值和三级指标截止评价日的完成情况，综合分析绩效目标实现程度。详细评价方法的应用如下：</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①一般量化统计类等定量指标：通过对比实际完成值和预期指标值，达成预期指标值的，记该指标所赋全部分值；对完成值高于指标值较多的，要分析原因，如果是由于年初指标值设定明显偏低造成的，要按照偏离度适度调减分值；未完成指标值的，按照完成值与指标值的比例记分。</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②属于“是”或“否”判断的单一评判定量指标：比较法，符合要求的得满分，不符合要求的不得分或者扣相应的分数。</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③满意度指标：主要采用比较法，据满意度问卷统计情况计算完成比率与预期指标值对比，达成满意度预期目标的，得满分；未完成指标值的，按照完成值与预期指标值的比例记分；满意度小于 60%不得分。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（2）定性指标分析环节：主要采用公众评判法，通过问卷及抽样调查等方式评价本项目实施后社会公众对于其实施效果的满意程度，将调研结果按照《项目支出绩效评价管理办法》（财预〔2020〕10 号）《关于印发&lt;自治区项目支出绩效目标设置指引&gt;的通知）（新财预〔2022〔42 号）文要求分为基本达成目标、部分实现目标、实现目标程度较低三档，分别按照该指标对应分值区间 100.00%-80%（含）、80%-60%（含）、60%-0%合理确定分值。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4.评价标准</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绩效评价标准通常包括计划标准、行业标准、历史标准等。本次绩效评价采用计划标准，以预先制定的目标、计划、预算、定额等作为评价标准，对比分析项目产出、效益的完成情况。对于定性指标，通过文献查阅等方式，采集相关数据，运用等级描述法，设置分级标准，体现该指标认可程度的差异。对于定量指标，通过公式计算、数据统计等方式予以量化，可以准确衡量，并设定目标值的考核指标。</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（三）绩效评价工作过程。</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此次绩效评价工作通过收集查看项目相关文件材料，查阅其他书面材料、实施情况，预算执行情况等，并按照评价指标、评价标准和评价规则对决策、过程、产出、效益和满意度五个方面进行评价，通过汇总平均，得出项目考评的综合评价得分，同时形成综合评价意见。</w:t>
      </w:r>
    </w:p>
    <w:p>
      <w:pPr>
        <w:spacing w:line="540" w:lineRule="exact"/>
        <w:ind w:firstLine="640"/>
        <w:rPr>
          <w:rStyle w:val="17"/>
          <w:rFonts w:hint="eastAsia" w:ascii="黑体" w:hAnsi="黑体" w:eastAsia="黑体"/>
          <w:b w:val="0"/>
          <w:spacing w:val="-4"/>
          <w:sz w:val="32"/>
          <w:szCs w:val="32"/>
        </w:rPr>
      </w:pPr>
      <w:r>
        <w:rPr>
          <w:rStyle w:val="17"/>
          <w:rFonts w:hint="eastAsia" w:ascii="黑体" w:hAnsi="黑体" w:eastAsia="黑体"/>
          <w:b w:val="0"/>
          <w:spacing w:val="-4"/>
          <w:sz w:val="32"/>
          <w:szCs w:val="32"/>
        </w:rPr>
        <w:t>三、</w:t>
      </w:r>
      <w:r>
        <w:rPr>
          <w:rStyle w:val="17"/>
          <w:rFonts w:hint="eastAsia"/>
          <w:spacing w:val="-4"/>
          <w:sz w:val="32"/>
          <w:szCs w:val="32"/>
        </w:rPr>
        <w:t>综合评价情况及评价结论</w:t>
      </w:r>
    </w:p>
    <w:p>
      <w:pPr>
        <w:spacing w:line="540" w:lineRule="exact"/>
        <w:ind w:firstLine="567"/>
        <w:rPr>
          <w:rStyle w:val="17"/>
          <w:rFonts w:hint="eastAsia" w:ascii="楷体" w:hAnsi="楷体" w:eastAsia="楷体"/>
          <w:spacing w:val="-4"/>
          <w:sz w:val="32"/>
          <w:szCs w:val="32"/>
        </w:rPr>
      </w:pPr>
      <w:r>
        <w:rPr>
          <w:rStyle w:val="17"/>
          <w:rFonts w:hint="eastAsia" w:ascii="楷体" w:hAnsi="楷体" w:eastAsia="楷体"/>
          <w:spacing w:val="-4"/>
          <w:sz w:val="32"/>
          <w:szCs w:val="32"/>
        </w:rPr>
        <w:t>此次绩效评价通过论证的评价指标体系及评分标准，对综合业务管理费项目绩效进行客观评价，最终评分结果：总分为100分，其中：项目决策5分、过程管理5分、项目产出60分、项目效益20分、满意度10分，绩效评级为“优秀”。</w:t>
      </w:r>
    </w:p>
    <w:p>
      <w:pPr>
        <w:spacing w:line="540" w:lineRule="exact"/>
        <w:ind w:firstLine="640"/>
        <w:rPr>
          <w:rStyle w:val="17"/>
          <w:rFonts w:ascii="黑体" w:hAnsi="黑体" w:eastAsia="黑体"/>
        </w:rPr>
      </w:pPr>
      <w:r>
        <w:rPr>
          <w:rStyle w:val="17"/>
          <w:rFonts w:hint="eastAsia" w:ascii="黑体" w:hAnsi="黑体" w:eastAsia="黑体"/>
          <w:b w:val="0"/>
          <w:spacing w:val="-4"/>
          <w:sz w:val="32"/>
          <w:szCs w:val="32"/>
        </w:rPr>
        <w:t>四、</w:t>
      </w:r>
      <w:r>
        <w:rPr>
          <w:rStyle w:val="17"/>
          <w:rFonts w:hint="eastAsia"/>
          <w:spacing w:val="-4"/>
          <w:sz w:val="32"/>
          <w:szCs w:val="32"/>
        </w:rPr>
        <w:t>绩效评价指标分析</w:t>
      </w:r>
      <w:r>
        <w:rPr>
          <w:rStyle w:val="17"/>
          <w:rFonts w:hint="eastAsia" w:ascii="黑体" w:hAnsi="黑体" w:eastAsia="黑体"/>
          <w:b w:val="0"/>
          <w:spacing w:val="-4"/>
          <w:sz w:val="32"/>
          <w:szCs w:val="32"/>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（一）项目决策情况。</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项目决策由5个二级指标和6个三级指标构成，权重分5分，实际得分5分。该项目符合国家法律法规、国民经济发展规划和相关政策，符合行业发展规划和政策要求，与部门职责范围相符，属于部门履职所需，属于公共财政支持范围，符合中央、地方事权支出责任划分原则，该项目通过会议进行了可行性研究、专家论证、风险评估、绩效评估。按照相关规定规定的程序申请设立，审批文件、材料符合相关要求，没有重复立项，立项依据充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（二）项目过程情况。</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项目过程管理类指标由3个二级指标和5个三级指标构成，权重分5分，实际得分5分。该项目资金使用合规，符合国家财经法规和财务管理制度以及有关专项资金管理办法的规定，资金支付均具有完整的审批程序和手续，与预算批复内容相符，不存在截留、挤占、挪用、虚列支出等情况，项目合同书、验收报告、技术鉴定等资料齐全并及时归档，项目实施的人员条件、场地设备、信息支撑等落实到位。</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（三）项目产出情况。</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项目产出类指标由3个二级指标和6个三级指标构成，权重分60分，实际得分60分。具体如下：</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①数量指标：“应急管理信息系统运行数”指标，预期指标值为&gt;=4次，指标完成值为4次，完成率为100%，分值15分，得分15分；“ 编制全区省干线路路网运行监测研究分析报告”指标，预期指标值为&gt;=1次，指标完成值为=1次，完成率为100%，分值15分，得分15分；</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②质量指标：“应急管理信息系统验收合格率”指标，预期指标值为&gt;=90%，指标完成值为=90%，完成率为100%，分值7.5分，得分7.5分。“,应急管理信息系统故障率”指标，预期指标值为≤5%，指标完成值为=5%，完成率为100%，分值7.5分，得分7.5分。③时效指标：“系统故障修复处理时间”指标，预期指标值为≤1天，指标完成值为=1天，完成率为100%，分值7.5分，得分7.5分。“系统运行维护响应时间”指标，预期指标值为≥24小时，指标完成值为=24小时，完成率为100%，分值7.5分，得分7.5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（四）项目效益情况。</w:t>
      </w:r>
    </w:p>
    <w:p>
      <w:pPr>
        <w:spacing w:line="540" w:lineRule="exact"/>
        <w:ind w:firstLine="567"/>
        <w:rPr>
          <w:rStyle w:val="17"/>
          <w:rFonts w:hint="eastAsia" w:ascii="楷体" w:hAnsi="楷体" w:eastAsia="楷体"/>
          <w:spacing w:val="-4"/>
          <w:sz w:val="32"/>
          <w:szCs w:val="32"/>
        </w:rPr>
      </w:pPr>
      <w:r>
        <w:rPr>
          <w:rStyle w:val="17"/>
          <w:rFonts w:hint="eastAsia" w:ascii="楷体" w:hAnsi="楷体" w:eastAsia="楷体"/>
          <w:spacing w:val="-4"/>
          <w:sz w:val="32"/>
          <w:szCs w:val="32"/>
        </w:rPr>
        <w:t>效益指标由1个二级指标和2个三级指标构成，权重分20分，实际得分20分。具体如下：</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保障自治区交通运输厅进行全方位运转率”指标，预期指标值为&gt;=95%，指标完成值为95%，完成率为100%，分值10分，得分10分。“设备系统正常使用年限”指标，预期指标值为≥5年，指标完成值为=5年，完成率为100%，分值10分，得分10分。</w:t>
      </w:r>
    </w:p>
    <w:p>
      <w:pPr>
        <w:spacing w:line="540" w:lineRule="exact"/>
        <w:ind w:firstLine="567"/>
        <w:rPr>
          <w:rStyle w:val="17"/>
          <w:rFonts w:hint="eastAsia" w:ascii="楷体" w:hAnsi="楷体" w:eastAsia="楷体"/>
          <w:spacing w:val="-4"/>
          <w:sz w:val="32"/>
          <w:szCs w:val="32"/>
        </w:rPr>
      </w:pPr>
      <w:r>
        <w:rPr>
          <w:rStyle w:val="17"/>
          <w:rFonts w:hint="eastAsia" w:ascii="楷体" w:hAnsi="楷体" w:eastAsia="楷体"/>
          <w:spacing w:val="-4"/>
          <w:sz w:val="32"/>
          <w:szCs w:val="32"/>
        </w:rPr>
        <w:t>满意度指标由1个二级指标和1个三级指标构成，权重分10分，实际得分10分。具体如下：</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“各级处置中心指挥部门满意率”指标，预期指标值为&gt;=95%，指标完成值为95%，完成率为100%，分值10分，得分10分。</w:t>
      </w:r>
    </w:p>
    <w:p>
      <w:pPr>
        <w:spacing w:line="540" w:lineRule="exact"/>
        <w:ind w:firstLine="640"/>
        <w:rPr>
          <w:rStyle w:val="17"/>
          <w:rFonts w:ascii="黑体" w:hAnsi="黑体" w:eastAsia="黑体"/>
          <w:spacing w:val="-4"/>
          <w:sz w:val="32"/>
          <w:szCs w:val="32"/>
        </w:rPr>
      </w:pPr>
      <w:r>
        <w:rPr>
          <w:rStyle w:val="17"/>
          <w:rFonts w:hint="eastAsia" w:ascii="黑体" w:hAnsi="黑体" w:eastAsia="黑体"/>
          <w:b w:val="0"/>
          <w:spacing w:val="-4"/>
          <w:sz w:val="32"/>
          <w:szCs w:val="32"/>
          <w:lang w:eastAsia="zh-CN"/>
        </w:rPr>
        <w:t>五</w:t>
      </w:r>
      <w:r>
        <w:rPr>
          <w:rStyle w:val="17"/>
          <w:rFonts w:hint="eastAsia" w:ascii="黑体" w:hAnsi="黑体" w:eastAsia="黑体"/>
          <w:b w:val="0"/>
          <w:spacing w:val="-4"/>
          <w:sz w:val="32"/>
          <w:szCs w:val="32"/>
        </w:rPr>
        <w:t>、</w:t>
      </w:r>
      <w:r>
        <w:rPr>
          <w:rStyle w:val="17"/>
          <w:rFonts w:ascii="黑体" w:hAnsi="黑体" w:eastAsia="黑体"/>
          <w:b w:val="0"/>
          <w:spacing w:val="-4"/>
          <w:sz w:val="32"/>
          <w:szCs w:val="32"/>
        </w:rPr>
        <w:t>主要经验及做法、存在的问题及原因分析</w:t>
      </w:r>
    </w:p>
    <w:p>
      <w:pPr>
        <w:spacing w:line="540" w:lineRule="exact"/>
        <w:ind w:firstLine="627" w:firstLineChars="200"/>
        <w:rPr>
          <w:rStyle w:val="17"/>
          <w:rFonts w:ascii="楷体" w:hAnsi="楷体" w:eastAsia="楷体"/>
          <w:spacing w:val="-4"/>
          <w:sz w:val="32"/>
          <w:szCs w:val="32"/>
        </w:rPr>
      </w:pPr>
      <w:r>
        <w:rPr>
          <w:rStyle w:val="17"/>
          <w:rFonts w:hint="eastAsia" w:ascii="楷体" w:hAnsi="楷体" w:eastAsia="楷体"/>
          <w:spacing w:val="-4"/>
          <w:sz w:val="32"/>
          <w:szCs w:val="32"/>
        </w:rPr>
        <w:t>1.严格遵守财经纪律和各项规章制度，在项目采购、资金使用等环节坚守原则，确保项目资金使用安全与规范；       2.项目推进过程中，注重科室之间的协调联动，提高执行效率。</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存在的问题及原因分析</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1.项目执行中，部分环节对细节的把控不够严谨；2.项目执行过程中科室之间的协同联动存在衔接不够顺畅，信息传递时效性和精准度需要提升。</w:t>
      </w:r>
    </w:p>
    <w:p>
      <w:pPr>
        <w:ind w:firstLine="624" w:firstLineChars="200"/>
        <w:rPr>
          <w:rStyle w:val="17"/>
          <w:rFonts w:ascii="黑体" w:hAnsi="黑体" w:eastAsia="黑体"/>
          <w:b w:val="0"/>
          <w:spacing w:val="-4"/>
          <w:sz w:val="32"/>
          <w:szCs w:val="32"/>
        </w:rPr>
      </w:pPr>
      <w:r>
        <w:rPr>
          <w:rStyle w:val="17"/>
          <w:rFonts w:hint="eastAsia" w:ascii="黑体" w:hAnsi="黑体" w:eastAsia="黑体"/>
          <w:b w:val="0"/>
          <w:spacing w:val="-4"/>
          <w:sz w:val="32"/>
          <w:szCs w:val="32"/>
          <w:lang w:eastAsia="zh-CN"/>
        </w:rPr>
        <w:t>六</w:t>
      </w:r>
      <w:r>
        <w:rPr>
          <w:rStyle w:val="17"/>
          <w:rFonts w:ascii="黑体" w:hAnsi="黑体" w:eastAsia="黑体"/>
          <w:b w:val="0"/>
          <w:spacing w:val="-4"/>
          <w:sz w:val="32"/>
          <w:szCs w:val="32"/>
        </w:rPr>
        <w:t>、有关建议</w:t>
      </w:r>
    </w:p>
    <w:p>
      <w:pPr>
        <w:spacing w:line="540" w:lineRule="exact"/>
        <w:ind w:firstLine="627" w:firstLineChars="200"/>
        <w:rPr>
          <w:rStyle w:val="17"/>
          <w:rFonts w:ascii="楷体" w:hAnsi="楷体" w:eastAsia="楷体"/>
          <w:spacing w:val="-4"/>
          <w:sz w:val="32"/>
          <w:szCs w:val="32"/>
        </w:rPr>
      </w:pPr>
      <w:r>
        <w:rPr>
          <w:rStyle w:val="17"/>
          <w:rFonts w:hint="eastAsia" w:ascii="楷体" w:hAnsi="楷体" w:eastAsia="楷体"/>
          <w:spacing w:val="-4"/>
          <w:sz w:val="32"/>
          <w:szCs w:val="32"/>
        </w:rPr>
        <w:t>1.坚持科学决策，以政策依据、数据支撑、风险评估为前提，开展必要性、可行性分析；2.加强预算编制的精准性，坚持先有项目后有预算的原则，做实做细项目前期论证，充分征求各科室及法律顾问的意见，集体研究、集体决策，合理合规编制预算；3.加强监督和管理，加快执行进度，按时间节点有序推进项目实施，提升资金使用效率；4.严格资金支付管理，按照预算批复和项目进度支付资金，坚持按合、按程序付款；5.加强项目全过程监控，强化项目绩效管理，提升资金使用效益。</w:t>
      </w:r>
    </w:p>
    <w:p>
      <w:pPr>
        <w:spacing w:line="540" w:lineRule="exact"/>
        <w:ind w:firstLine="567"/>
        <w:rPr>
          <w:rStyle w:val="17"/>
          <w:rFonts w:ascii="黑体" w:hAnsi="黑体" w:eastAsia="黑体"/>
          <w:b w:val="0"/>
          <w:spacing w:val="-4"/>
          <w:sz w:val="32"/>
          <w:szCs w:val="32"/>
        </w:rPr>
      </w:pPr>
      <w:r>
        <w:rPr>
          <w:rStyle w:val="17"/>
          <w:rFonts w:hint="eastAsia" w:ascii="黑体" w:hAnsi="黑体" w:eastAsia="黑体"/>
          <w:b w:val="0"/>
          <w:spacing w:val="-4"/>
          <w:sz w:val="32"/>
          <w:szCs w:val="32"/>
          <w:lang w:eastAsia="zh-CN"/>
        </w:rPr>
        <w:t>七</w:t>
      </w:r>
      <w:r>
        <w:rPr>
          <w:rStyle w:val="17"/>
          <w:rFonts w:hint="eastAsia" w:ascii="黑体" w:hAnsi="黑体" w:eastAsia="黑体"/>
          <w:b w:val="0"/>
          <w:spacing w:val="-4"/>
          <w:sz w:val="32"/>
          <w:szCs w:val="32"/>
        </w:rPr>
        <w:t>、其他需要说明的问题</w:t>
      </w:r>
    </w:p>
    <w:p>
      <w:pPr>
        <w:spacing w:line="540" w:lineRule="exact"/>
        <w:ind w:firstLine="627" w:firstLineChars="200"/>
        <w:rPr>
          <w:rStyle w:val="17"/>
          <w:rFonts w:ascii="楷体" w:hAnsi="楷体" w:eastAsia="楷体"/>
          <w:spacing w:val="-4"/>
          <w:sz w:val="32"/>
          <w:szCs w:val="32"/>
        </w:rPr>
      </w:pPr>
      <w:r>
        <w:rPr>
          <w:rStyle w:val="17"/>
          <w:rFonts w:hint="eastAsia" w:ascii="楷体" w:hAnsi="楷体" w:eastAsia="楷体"/>
          <w:spacing w:val="-4"/>
          <w:sz w:val="32"/>
          <w:szCs w:val="32"/>
        </w:rPr>
        <w:t>无</w:t>
      </w: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C51DF"/>
    <w:rsid w:val="005D10D6"/>
    <w:rsid w:val="005E7C5E"/>
    <w:rsid w:val="0075584F"/>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F42A0"/>
    <w:rsid w:val="00E30E91"/>
    <w:rsid w:val="00E769FE"/>
    <w:rsid w:val="00E774CE"/>
    <w:rsid w:val="00E96D03"/>
    <w:rsid w:val="00EA2CBE"/>
    <w:rsid w:val="00EB10A0"/>
    <w:rsid w:val="00F32FEE"/>
    <w:rsid w:val="00FB10BB"/>
    <w:rsid w:val="0CB44F22"/>
    <w:rsid w:val="481B58F5"/>
    <w:rsid w:val="4C3D1751"/>
    <w:rsid w:val="4D2606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6">
    <w:name w:val="Default Paragraph Font"/>
    <w:unhideWhenUsed/>
    <w:qFormat/>
    <w:uiPriority w:val="1"/>
  </w:style>
  <w:style w:type="table" w:default="1" w:styleId="19">
    <w:name w:val="Normal Table"/>
    <w:unhideWhenUsed/>
    <w:qFormat/>
    <w:uiPriority w:val="99"/>
    <w:tblPr>
      <w:tblLayout w:type="fixed"/>
      <w:tblCellMar>
        <w:top w:w="0" w:type="dxa"/>
        <w:left w:w="108" w:type="dxa"/>
        <w:bottom w:w="0" w:type="dxa"/>
        <w:right w:w="108" w:type="dxa"/>
      </w:tblCellMar>
    </w:tblPr>
  </w:style>
  <w:style w:type="paragraph" w:styleId="11">
    <w:name w:val="Balloon Text"/>
    <w:basedOn w:val="1"/>
    <w:link w:val="45"/>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Theme="minorHAnsi" w:hAnsiTheme="minorHAnsi"/>
      <w:b/>
      <w:i/>
      <w:iCs/>
    </w:rPr>
  </w:style>
  <w:style w:type="character" w:customStyle="1" w:styleId="20">
    <w:name w:val="标题 1 字符"/>
    <w:basedOn w:val="16"/>
    <w:link w:val="2"/>
    <w:qFormat/>
    <w:uiPriority w:val="9"/>
    <w:rPr>
      <w:rFonts w:asciiTheme="majorHAnsi" w:hAnsiTheme="majorHAnsi" w:eastAsiaTheme="majorEastAsia"/>
      <w:b/>
      <w:bCs/>
      <w:kern w:val="32"/>
      <w:sz w:val="32"/>
      <w:szCs w:val="32"/>
    </w:rPr>
  </w:style>
  <w:style w:type="character" w:customStyle="1" w:styleId="21">
    <w:name w:val="标题 2 字符"/>
    <w:basedOn w:val="16"/>
    <w:link w:val="3"/>
    <w:semiHidden/>
    <w:qFormat/>
    <w:uiPriority w:val="9"/>
    <w:rPr>
      <w:rFonts w:asciiTheme="majorHAnsi" w:hAnsiTheme="majorHAnsi" w:eastAsiaTheme="majorEastAsia"/>
      <w:b/>
      <w:bCs/>
      <w:i/>
      <w:iCs/>
      <w:sz w:val="28"/>
      <w:szCs w:val="28"/>
    </w:rPr>
  </w:style>
  <w:style w:type="character" w:customStyle="1" w:styleId="22">
    <w:name w:val="标题 3 字符"/>
    <w:basedOn w:val="16"/>
    <w:link w:val="4"/>
    <w:semiHidden/>
    <w:qFormat/>
    <w:uiPriority w:val="9"/>
    <w:rPr>
      <w:rFonts w:asciiTheme="majorHAnsi" w:hAnsiTheme="majorHAnsi" w:eastAsiaTheme="majorEastAsia"/>
      <w:b/>
      <w:bCs/>
      <w:sz w:val="26"/>
      <w:szCs w:val="26"/>
    </w:rPr>
  </w:style>
  <w:style w:type="character" w:customStyle="1" w:styleId="23">
    <w:name w:val="标题 4 字符"/>
    <w:basedOn w:val="16"/>
    <w:link w:val="5"/>
    <w:qFormat/>
    <w:uiPriority w:val="9"/>
    <w:rPr>
      <w:b/>
      <w:bCs/>
      <w:sz w:val="28"/>
      <w:szCs w:val="28"/>
    </w:rPr>
  </w:style>
  <w:style w:type="character" w:customStyle="1" w:styleId="24">
    <w:name w:val="标题 5 字符"/>
    <w:basedOn w:val="16"/>
    <w:link w:val="6"/>
    <w:semiHidden/>
    <w:qFormat/>
    <w:uiPriority w:val="9"/>
    <w:rPr>
      <w:b/>
      <w:bCs/>
      <w:i/>
      <w:iCs/>
      <w:sz w:val="26"/>
      <w:szCs w:val="26"/>
    </w:rPr>
  </w:style>
  <w:style w:type="character" w:customStyle="1" w:styleId="25">
    <w:name w:val="标题 6 字符"/>
    <w:basedOn w:val="16"/>
    <w:link w:val="7"/>
    <w:semiHidden/>
    <w:qFormat/>
    <w:uiPriority w:val="9"/>
    <w:rPr>
      <w:b/>
      <w:bCs/>
    </w:rPr>
  </w:style>
  <w:style w:type="character" w:customStyle="1" w:styleId="26">
    <w:name w:val="标题 7 字符"/>
    <w:basedOn w:val="16"/>
    <w:link w:val="8"/>
    <w:semiHidden/>
    <w:qFormat/>
    <w:uiPriority w:val="9"/>
    <w:rPr>
      <w:sz w:val="24"/>
      <w:szCs w:val="24"/>
    </w:rPr>
  </w:style>
  <w:style w:type="character" w:customStyle="1" w:styleId="27">
    <w:name w:val="标题 8 字符"/>
    <w:basedOn w:val="16"/>
    <w:link w:val="9"/>
    <w:semiHidden/>
    <w:qFormat/>
    <w:uiPriority w:val="9"/>
    <w:rPr>
      <w:i/>
      <w:iCs/>
      <w:sz w:val="24"/>
      <w:szCs w:val="24"/>
    </w:rPr>
  </w:style>
  <w:style w:type="character" w:customStyle="1" w:styleId="28">
    <w:name w:val="标题 9 字符"/>
    <w:basedOn w:val="16"/>
    <w:link w:val="10"/>
    <w:semiHidden/>
    <w:qFormat/>
    <w:uiPriority w:val="9"/>
    <w:rPr>
      <w:rFonts w:asciiTheme="majorHAnsi" w:hAnsiTheme="majorHAnsi" w:eastAsiaTheme="majorEastAsia"/>
    </w:rPr>
  </w:style>
  <w:style w:type="character" w:customStyle="1" w:styleId="29">
    <w:name w:val="标题 字符"/>
    <w:basedOn w:val="16"/>
    <w:link w:val="15"/>
    <w:qFormat/>
    <w:uiPriority w:val="10"/>
    <w:rPr>
      <w:rFonts w:asciiTheme="majorHAnsi" w:hAnsiTheme="majorHAnsi" w:eastAsiaTheme="majorEastAsia"/>
      <w:b/>
      <w:bCs/>
      <w:kern w:val="28"/>
      <w:sz w:val="32"/>
      <w:szCs w:val="32"/>
    </w:rPr>
  </w:style>
  <w:style w:type="character" w:customStyle="1" w:styleId="30">
    <w:name w:val="副标题 字符"/>
    <w:basedOn w:val="16"/>
    <w:link w:val="14"/>
    <w:qFormat/>
    <w:uiPriority w:val="11"/>
    <w:rPr>
      <w:rFonts w:asciiTheme="majorHAnsi" w:hAnsiTheme="majorHAnsi" w:eastAsiaTheme="majorEastAsia"/>
      <w:sz w:val="24"/>
      <w:szCs w:val="24"/>
    </w:rPr>
  </w:style>
  <w:style w:type="paragraph" w:customStyle="1"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customStyle="1"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customStyle="1"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6"/>
    <w:link w:val="33"/>
    <w:qFormat/>
    <w:uiPriority w:val="29"/>
    <w:rPr>
      <w:i/>
      <w:sz w:val="24"/>
      <w:szCs w:val="24"/>
    </w:rPr>
  </w:style>
  <w:style w:type="paragraph" w:customStyle="1"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6"/>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6"/>
    <w:qFormat/>
    <w:uiPriority w:val="21"/>
    <w:rPr>
      <w:b/>
      <w:i/>
      <w:sz w:val="24"/>
      <w:szCs w:val="24"/>
      <w:u w:val="single"/>
    </w:rPr>
  </w:style>
  <w:style w:type="character" w:customStyle="1" w:styleId="39">
    <w:name w:val="不明显参考1"/>
    <w:basedOn w:val="16"/>
    <w:qFormat/>
    <w:uiPriority w:val="31"/>
    <w:rPr>
      <w:sz w:val="24"/>
      <w:szCs w:val="24"/>
      <w:u w:val="single"/>
    </w:rPr>
  </w:style>
  <w:style w:type="character" w:customStyle="1" w:styleId="40">
    <w:name w:val="明显参考1"/>
    <w:basedOn w:val="16"/>
    <w:qFormat/>
    <w:uiPriority w:val="32"/>
    <w:rPr>
      <w:b/>
      <w:sz w:val="24"/>
      <w:u w:val="single"/>
    </w:rPr>
  </w:style>
  <w:style w:type="character" w:customStyle="1" w:styleId="41">
    <w:name w:val="书籍标题1"/>
    <w:basedOn w:val="16"/>
    <w:qFormat/>
    <w:uiPriority w:val="33"/>
    <w:rPr>
      <w:rFonts w:asciiTheme="majorHAnsi" w:hAnsiTheme="majorHAnsi" w:eastAsiaTheme="majorEastAsia"/>
      <w:b/>
      <w:i/>
      <w:sz w:val="24"/>
      <w:szCs w:val="24"/>
    </w:rPr>
  </w:style>
  <w:style w:type="paragraph" w:customStyle="1" w:styleId="42">
    <w:name w:val="TOC 标题1"/>
    <w:basedOn w:val="2"/>
    <w:next w:val="1"/>
    <w:unhideWhenUsed/>
    <w:qFormat/>
    <w:uiPriority w:val="39"/>
    <w:pPr>
      <w:outlineLvl w:val="9"/>
    </w:pPr>
    <w:rPr>
      <w:lang w:eastAsia="en-US" w:bidi="en-US"/>
    </w:rPr>
  </w:style>
  <w:style w:type="character" w:customStyle="1" w:styleId="43">
    <w:name w:val="页眉 字符"/>
    <w:basedOn w:val="16"/>
    <w:link w:val="13"/>
    <w:qFormat/>
    <w:uiPriority w:val="99"/>
    <w:rPr>
      <w:rFonts w:ascii="Calibri" w:hAnsi="Calibri" w:eastAsia="宋体"/>
      <w:kern w:val="2"/>
      <w:sz w:val="18"/>
      <w:szCs w:val="18"/>
    </w:rPr>
  </w:style>
  <w:style w:type="character" w:customStyle="1" w:styleId="44">
    <w:name w:val="页脚 字符"/>
    <w:basedOn w:val="16"/>
    <w:link w:val="12"/>
    <w:qFormat/>
    <w:uiPriority w:val="99"/>
    <w:rPr>
      <w:rFonts w:ascii="Calibri" w:hAnsi="Calibri" w:eastAsia="宋体"/>
      <w:kern w:val="2"/>
      <w:sz w:val="18"/>
      <w:szCs w:val="18"/>
    </w:rPr>
  </w:style>
  <w:style w:type="character" w:customStyle="1" w:styleId="45">
    <w:name w:val="批注框文本 字符"/>
    <w:basedOn w:val="16"/>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113</Words>
  <Characters>648</Characters>
  <Lines>5</Lines>
  <Paragraphs>1</Paragraphs>
  <ScaleCrop>false</ScaleCrop>
  <LinksUpToDate>false</LinksUpToDate>
  <CharactersWithSpaces>760</CharactersWithSpaces>
  <Application>WPS Office_10.8.0.6370_F1E327BC-269C-435d-A152-05C5408002CA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Administrator</cp:lastModifiedBy>
  <cp:lastPrinted>2018-12-31T10:56:00Z</cp:lastPrinted>
  <dcterms:modified xsi:type="dcterms:W3CDTF">2026-09-02T10:01:19Z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2052-10.8.0.6370</vt:lpwstr>
  </property>
  <property fmtid="{D5CDD505-2E9C-101B-9397-08002B2CF9AE}" pid="3" name="ICV">
    <vt:lpwstr>160D1BA1944349B08C48068401F6E698</vt:lpwstr>
  </property>
</Properties>
</file>