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14412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default" w:ascii="Times New Roman" w:hAnsi="Times New Roman" w:eastAsia="黑体" w:cs="Times New Roman"/>
          <w:sz w:val="32"/>
          <w:szCs w:val="32"/>
          <w:highlight w:val="none"/>
        </w:rPr>
      </w:pPr>
    </w:p>
    <w:p w14:paraId="06AB12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方正仿宋_GBK" w:cs="Times New Roman"/>
          <w:sz w:val="28"/>
          <w:szCs w:val="28"/>
          <w:highlight w:val="none"/>
          <w:lang w:eastAsia="zh-CN"/>
        </w:rPr>
      </w:pPr>
      <w:r>
        <w:rPr>
          <w:rFonts w:hint="default" w:ascii="Times New Roman" w:hAnsi="Times New Roman" w:eastAsia="方正仿宋_GBK" w:cs="Times New Roman"/>
          <w:sz w:val="28"/>
          <w:szCs w:val="28"/>
          <w:highlight w:val="none"/>
          <w:lang w:eastAsia="zh-CN"/>
        </w:rPr>
        <w:t>　</w:t>
      </w:r>
    </w:p>
    <w:p w14:paraId="56E93FBB">
      <w:pPr>
        <w:pStyle w:val="2"/>
        <w:ind w:left="0" w:leftChars="0" w:firstLine="0" w:firstLineChars="0"/>
        <w:rPr>
          <w:rFonts w:hint="default" w:ascii="Times New Roman" w:hAnsi="Times New Roman" w:eastAsia="方正小标宋_GBK" w:cs="Times New Roman"/>
          <w:b/>
          <w:kern w:val="0"/>
          <w:sz w:val="48"/>
          <w:szCs w:val="48"/>
          <w:highlight w:val="none"/>
        </w:rPr>
      </w:pPr>
    </w:p>
    <w:p w14:paraId="0C21A3BD">
      <w:pPr>
        <w:spacing w:line="540" w:lineRule="exact"/>
        <w:jc w:val="center"/>
        <w:rPr>
          <w:rFonts w:ascii="方正小标宋_GBK" w:hAnsi="华文中宋" w:eastAsia="方正小标宋_GBK" w:cs="宋体"/>
          <w:b/>
          <w:kern w:val="0"/>
          <w:sz w:val="48"/>
          <w:szCs w:val="48"/>
          <w:highlight w:val="none"/>
        </w:rPr>
      </w:pPr>
      <w:r>
        <w:rPr>
          <w:rFonts w:hint="eastAsia" w:ascii="方正小标宋_GBK" w:hAnsi="华文中宋" w:eastAsia="方正小标宋_GBK" w:cs="宋体"/>
          <w:b/>
          <w:kern w:val="0"/>
          <w:sz w:val="48"/>
          <w:szCs w:val="48"/>
          <w:highlight w:val="none"/>
        </w:rPr>
        <w:t>自治区部门单位整体支出绩效</w:t>
      </w:r>
    </w:p>
    <w:p w14:paraId="134410A7">
      <w:pPr>
        <w:spacing w:line="540" w:lineRule="exact"/>
        <w:jc w:val="center"/>
        <w:rPr>
          <w:rFonts w:ascii="方正小标宋_GBK" w:hAnsi="华文中宋" w:eastAsia="方正小标宋_GBK" w:cs="宋体"/>
          <w:b/>
          <w:kern w:val="0"/>
          <w:sz w:val="48"/>
          <w:szCs w:val="48"/>
          <w:highlight w:val="none"/>
        </w:rPr>
      </w:pPr>
      <w:r>
        <w:rPr>
          <w:rFonts w:hint="eastAsia" w:ascii="方正小标宋_GBK" w:hAnsi="华文中宋" w:eastAsia="方正小标宋_GBK" w:cs="宋体"/>
          <w:b/>
          <w:kern w:val="0"/>
          <w:sz w:val="48"/>
          <w:szCs w:val="48"/>
          <w:highlight w:val="none"/>
        </w:rPr>
        <w:t>自评报告</w:t>
      </w:r>
    </w:p>
    <w:p w14:paraId="55285AE4">
      <w:pPr>
        <w:spacing w:line="540" w:lineRule="exact"/>
        <w:jc w:val="center"/>
        <w:rPr>
          <w:rFonts w:hint="default" w:ascii="Times New Roman" w:hAnsi="Times New Roman" w:eastAsia="华文中宋" w:cs="Times New Roman"/>
          <w:b/>
          <w:kern w:val="0"/>
          <w:sz w:val="52"/>
          <w:szCs w:val="52"/>
          <w:highlight w:val="none"/>
        </w:rPr>
      </w:pPr>
    </w:p>
    <w:p w14:paraId="67A127E7">
      <w:pPr>
        <w:spacing w:line="540" w:lineRule="exact"/>
        <w:jc w:val="center"/>
        <w:rPr>
          <w:rFonts w:hAnsi="宋体" w:eastAsia="仿宋_GB2312" w:cs="宋体"/>
          <w:kern w:val="0"/>
          <w:sz w:val="36"/>
          <w:szCs w:val="36"/>
          <w:highlight w:val="none"/>
        </w:rPr>
      </w:pPr>
      <w:r>
        <w:rPr>
          <w:rFonts w:hint="eastAsia" w:hAnsi="宋体" w:eastAsia="仿宋_GB2312" w:cs="宋体"/>
          <w:kern w:val="0"/>
          <w:sz w:val="36"/>
          <w:szCs w:val="36"/>
          <w:highlight w:val="none"/>
        </w:rPr>
        <w:t>（</w:t>
      </w:r>
      <w:r>
        <w:rPr>
          <w:rFonts w:hint="default" w:ascii="Times New Roman" w:hAnsi="Times New Roman" w:eastAsia="仿宋_GB2312" w:cs="Times New Roman"/>
          <w:kern w:val="0"/>
          <w:sz w:val="36"/>
          <w:szCs w:val="36"/>
          <w:highlight w:val="none"/>
          <w:lang w:val="en-US" w:eastAsia="zh-CN"/>
        </w:rPr>
        <w:t>202</w:t>
      </w:r>
      <w:r>
        <w:rPr>
          <w:rFonts w:hint="eastAsia" w:ascii="Times New Roman" w:hAnsi="Times New Roman" w:eastAsia="仿宋_GB2312" w:cs="Times New Roman"/>
          <w:kern w:val="0"/>
          <w:sz w:val="36"/>
          <w:szCs w:val="36"/>
          <w:highlight w:val="none"/>
          <w:lang w:val="en-US" w:eastAsia="zh-CN"/>
        </w:rPr>
        <w:t>5</w:t>
      </w:r>
      <w:r>
        <w:rPr>
          <w:rFonts w:hint="eastAsia" w:hAnsi="宋体" w:eastAsia="仿宋_GB2312" w:cs="宋体"/>
          <w:kern w:val="0"/>
          <w:sz w:val="36"/>
          <w:szCs w:val="36"/>
          <w:highlight w:val="none"/>
        </w:rPr>
        <w:t>年度）</w:t>
      </w:r>
    </w:p>
    <w:p w14:paraId="742542E8">
      <w:pPr>
        <w:spacing w:line="540" w:lineRule="exact"/>
        <w:jc w:val="center"/>
        <w:rPr>
          <w:rFonts w:hint="default" w:ascii="Times New Roman" w:hAnsi="Times New Roman" w:eastAsia="仿宋_GB2312" w:cs="Times New Roman"/>
          <w:kern w:val="0"/>
          <w:sz w:val="30"/>
          <w:szCs w:val="30"/>
          <w:highlight w:val="none"/>
        </w:rPr>
      </w:pPr>
    </w:p>
    <w:p w14:paraId="5CE9262E">
      <w:pPr>
        <w:spacing w:line="540" w:lineRule="exact"/>
        <w:jc w:val="center"/>
        <w:rPr>
          <w:rFonts w:hint="default" w:ascii="Times New Roman" w:hAnsi="Times New Roman" w:eastAsia="仿宋_GB2312" w:cs="Times New Roman"/>
          <w:kern w:val="0"/>
          <w:sz w:val="30"/>
          <w:szCs w:val="30"/>
          <w:highlight w:val="none"/>
        </w:rPr>
      </w:pPr>
    </w:p>
    <w:p w14:paraId="37834DE7">
      <w:pPr>
        <w:spacing w:line="540" w:lineRule="exact"/>
        <w:jc w:val="center"/>
        <w:rPr>
          <w:rFonts w:hint="default" w:ascii="Times New Roman" w:hAnsi="Times New Roman" w:eastAsia="仿宋_GB2312" w:cs="Times New Roman"/>
          <w:kern w:val="0"/>
          <w:sz w:val="30"/>
          <w:szCs w:val="30"/>
          <w:highlight w:val="none"/>
        </w:rPr>
      </w:pPr>
    </w:p>
    <w:p w14:paraId="607893B6">
      <w:pPr>
        <w:spacing w:line="540" w:lineRule="exact"/>
        <w:jc w:val="center"/>
        <w:rPr>
          <w:rFonts w:hint="default" w:ascii="Times New Roman" w:hAnsi="Times New Roman" w:eastAsia="仿宋_GB2312" w:cs="Times New Roman"/>
          <w:kern w:val="0"/>
          <w:sz w:val="30"/>
          <w:szCs w:val="30"/>
          <w:highlight w:val="none"/>
        </w:rPr>
      </w:pPr>
    </w:p>
    <w:p w14:paraId="55216C24">
      <w:pPr>
        <w:pStyle w:val="2"/>
        <w:ind w:firstLine="400"/>
        <w:rPr>
          <w:rFonts w:hint="default" w:ascii="Times New Roman" w:hAnsi="Times New Roman" w:cs="Times New Roman"/>
          <w:kern w:val="0"/>
          <w:sz w:val="20"/>
          <w:szCs w:val="20"/>
          <w:highlight w:val="none"/>
        </w:rPr>
      </w:pPr>
    </w:p>
    <w:p w14:paraId="3EDD801A">
      <w:pPr>
        <w:pStyle w:val="2"/>
        <w:ind w:firstLine="400"/>
        <w:rPr>
          <w:rFonts w:hint="default" w:ascii="Times New Roman" w:hAnsi="Times New Roman" w:cs="Times New Roman"/>
          <w:kern w:val="0"/>
          <w:sz w:val="20"/>
          <w:szCs w:val="20"/>
          <w:highlight w:val="none"/>
        </w:rPr>
      </w:pPr>
    </w:p>
    <w:p w14:paraId="4899422A">
      <w:pPr>
        <w:pStyle w:val="2"/>
        <w:ind w:firstLine="600"/>
        <w:rPr>
          <w:rFonts w:hint="default" w:ascii="Times New Roman" w:hAnsi="Times New Roman" w:cs="Times New Roman"/>
          <w:kern w:val="0"/>
          <w:sz w:val="30"/>
          <w:szCs w:val="30"/>
          <w:highlight w:val="none"/>
        </w:rPr>
      </w:pPr>
    </w:p>
    <w:p w14:paraId="05BE7753">
      <w:pPr>
        <w:pStyle w:val="2"/>
        <w:ind w:firstLine="600"/>
        <w:rPr>
          <w:rFonts w:hint="default" w:ascii="Times New Roman" w:hAnsi="Times New Roman" w:cs="Times New Roman"/>
          <w:kern w:val="0"/>
          <w:sz w:val="30"/>
          <w:szCs w:val="30"/>
          <w:highlight w:val="none"/>
        </w:rPr>
      </w:pPr>
    </w:p>
    <w:p w14:paraId="421BD209">
      <w:pPr>
        <w:pStyle w:val="2"/>
        <w:ind w:firstLine="600"/>
        <w:rPr>
          <w:rFonts w:hint="default" w:ascii="Times New Roman" w:hAnsi="Times New Roman" w:cs="Times New Roman"/>
          <w:kern w:val="0"/>
          <w:sz w:val="30"/>
          <w:szCs w:val="30"/>
          <w:highlight w:val="none"/>
        </w:rPr>
      </w:pPr>
    </w:p>
    <w:p w14:paraId="282FC6CB">
      <w:pPr>
        <w:spacing w:line="540" w:lineRule="exact"/>
        <w:jc w:val="center"/>
        <w:rPr>
          <w:rFonts w:hint="default" w:ascii="Times New Roman" w:hAnsi="Times New Roman" w:eastAsia="仿宋_GB2312" w:cs="Times New Roman"/>
          <w:kern w:val="0"/>
          <w:sz w:val="30"/>
          <w:szCs w:val="30"/>
          <w:highlight w:val="none"/>
        </w:rPr>
      </w:pPr>
    </w:p>
    <w:p w14:paraId="3553B52A">
      <w:pPr>
        <w:spacing w:line="700" w:lineRule="exact"/>
        <w:jc w:val="center"/>
        <w:outlineLvl w:val="1"/>
        <w:rPr>
          <w:rFonts w:hint="default" w:ascii="Times New Roman" w:hAnsi="Times New Roman" w:eastAsia="仿宋_GB2312" w:cs="Times New Roman"/>
          <w:kern w:val="0"/>
          <w:sz w:val="36"/>
          <w:szCs w:val="36"/>
          <w:highlight w:val="none"/>
        </w:rPr>
      </w:pPr>
      <w:r>
        <w:rPr>
          <w:rFonts w:hint="eastAsia" w:hAnsi="宋体" w:eastAsia="仿宋_GB2312" w:cs="宋体"/>
          <w:kern w:val="0"/>
          <w:sz w:val="36"/>
          <w:szCs w:val="36"/>
          <w:highlight w:val="none"/>
        </w:rPr>
        <w:t>部门单位</w:t>
      </w:r>
      <w:r>
        <w:rPr>
          <w:rFonts w:hint="default" w:ascii="Times New Roman" w:hAnsi="Times New Roman" w:eastAsia="仿宋_GB2312" w:cs="Times New Roman"/>
          <w:kern w:val="0"/>
          <w:sz w:val="36"/>
          <w:szCs w:val="36"/>
          <w:highlight w:val="none"/>
        </w:rPr>
        <w:t>名称：自治区交通运输厅</w:t>
      </w:r>
    </w:p>
    <w:p w14:paraId="1ECA059B">
      <w:pPr>
        <w:spacing w:line="700" w:lineRule="exact"/>
        <w:ind w:firstLine="1800" w:firstLineChars="500"/>
        <w:jc w:val="both"/>
        <w:outlineLvl w:val="1"/>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填报时间：202</w:t>
      </w:r>
      <w:r>
        <w:rPr>
          <w:rFonts w:hint="eastAsia" w:ascii="Times New Roman" w:hAnsi="Times New Roman" w:eastAsia="仿宋_GB2312" w:cs="Times New Roman"/>
          <w:kern w:val="0"/>
          <w:sz w:val="36"/>
          <w:szCs w:val="36"/>
          <w:highlight w:val="none"/>
          <w:lang w:val="en-US" w:eastAsia="zh-CN"/>
        </w:rPr>
        <w:t>6</w:t>
      </w:r>
      <w:r>
        <w:rPr>
          <w:rFonts w:hint="default" w:ascii="Times New Roman" w:hAnsi="Times New Roman" w:eastAsia="仿宋_GB2312" w:cs="Times New Roman"/>
          <w:kern w:val="0"/>
          <w:sz w:val="36"/>
          <w:szCs w:val="36"/>
          <w:highlight w:val="none"/>
        </w:rPr>
        <w:t>年</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月</w:t>
      </w:r>
      <w:r>
        <w:rPr>
          <w:rFonts w:hint="default" w:ascii="Times New Roman" w:hAnsi="Times New Roman" w:eastAsia="仿宋_GB2312" w:cs="Times New Roman"/>
          <w:kern w:val="0"/>
          <w:sz w:val="36"/>
          <w:szCs w:val="36"/>
          <w:highlight w:val="none"/>
          <w:lang w:val="en-US" w:eastAsia="zh-CN"/>
        </w:rPr>
        <w:t>2</w:t>
      </w:r>
      <w:r>
        <w:rPr>
          <w:rFonts w:hint="default" w:ascii="Times New Roman" w:hAnsi="Times New Roman" w:eastAsia="仿宋_GB2312" w:cs="Times New Roman"/>
          <w:kern w:val="0"/>
          <w:sz w:val="36"/>
          <w:szCs w:val="36"/>
          <w:highlight w:val="none"/>
        </w:rPr>
        <w:t>日</w:t>
      </w:r>
    </w:p>
    <w:p w14:paraId="32A95F42">
      <w:pPr>
        <w:spacing w:line="700" w:lineRule="exact"/>
        <w:jc w:val="left"/>
        <w:rPr>
          <w:rFonts w:hint="default" w:ascii="Times New Roman" w:hAnsi="Times New Roman" w:eastAsia="仿宋_GB2312" w:cs="Times New Roman"/>
          <w:kern w:val="0"/>
          <w:sz w:val="36"/>
          <w:szCs w:val="36"/>
          <w:highlight w:val="none"/>
        </w:rPr>
      </w:pPr>
    </w:p>
    <w:p w14:paraId="4D4308A9">
      <w:pPr>
        <w:pStyle w:val="2"/>
        <w:ind w:left="0" w:leftChars="0" w:firstLine="0" w:firstLineChars="0"/>
        <w:rPr>
          <w:rFonts w:hint="default" w:ascii="Times New Roman" w:hAnsi="Times New Roman" w:cs="Times New Roman"/>
          <w:kern w:val="0"/>
          <w:sz w:val="20"/>
          <w:szCs w:val="20"/>
          <w:highlight w:val="none"/>
        </w:rPr>
      </w:pPr>
    </w:p>
    <w:p w14:paraId="7C45AB6C">
      <w:pPr>
        <w:keepNext w:val="0"/>
        <w:keepLines w:val="0"/>
        <w:pageBreakBefore w:val="0"/>
        <w:kinsoku/>
        <w:wordWrap/>
        <w:overflowPunct/>
        <w:topLinePunct w:val="0"/>
        <w:bidi w:val="0"/>
        <w:spacing w:line="560" w:lineRule="exact"/>
        <w:jc w:val="center"/>
        <w:textAlignment w:val="auto"/>
        <w:outlineLvl w:val="0"/>
        <w:rPr>
          <w:rFonts w:hint="default" w:ascii="Times New Roman" w:hAnsi="Times New Roman" w:eastAsia="方正小标宋_GBK" w:cs="Times New Roman"/>
          <w:bCs/>
          <w:kern w:val="0"/>
          <w:sz w:val="44"/>
          <w:szCs w:val="44"/>
          <w:highlight w:val="none"/>
        </w:rPr>
      </w:pPr>
      <w:r>
        <w:rPr>
          <w:rFonts w:hint="default" w:ascii="Times New Roman" w:hAnsi="Times New Roman" w:eastAsia="方正小标宋_GBK" w:cs="Times New Roman"/>
          <w:bCs/>
          <w:kern w:val="0"/>
          <w:sz w:val="44"/>
          <w:szCs w:val="44"/>
          <w:highlight w:val="none"/>
        </w:rPr>
        <w:t>自治区部门单位整体支出绩效</w:t>
      </w:r>
    </w:p>
    <w:p w14:paraId="2D8F4CF1">
      <w:pPr>
        <w:keepNext w:val="0"/>
        <w:keepLines w:val="0"/>
        <w:pageBreakBefore w:val="0"/>
        <w:kinsoku/>
        <w:wordWrap/>
        <w:overflowPunct/>
        <w:topLinePunct w:val="0"/>
        <w:bidi w:val="0"/>
        <w:spacing w:line="560" w:lineRule="exact"/>
        <w:jc w:val="center"/>
        <w:textAlignment w:val="auto"/>
        <w:outlineLvl w:val="0"/>
        <w:rPr>
          <w:rFonts w:hint="default" w:ascii="Times New Roman" w:hAnsi="Times New Roman" w:eastAsia="方正小标宋_GBK" w:cs="Times New Roman"/>
          <w:bCs/>
          <w:kern w:val="0"/>
          <w:sz w:val="44"/>
          <w:szCs w:val="44"/>
          <w:highlight w:val="none"/>
        </w:rPr>
      </w:pPr>
      <w:r>
        <w:rPr>
          <w:rFonts w:hint="default" w:ascii="Times New Roman" w:hAnsi="Times New Roman" w:eastAsia="方正小标宋_GBK" w:cs="Times New Roman"/>
          <w:bCs/>
          <w:kern w:val="0"/>
          <w:sz w:val="44"/>
          <w:szCs w:val="44"/>
          <w:highlight w:val="none"/>
        </w:rPr>
        <w:t>自评报告</w:t>
      </w:r>
    </w:p>
    <w:p w14:paraId="3B149E9B">
      <w:pPr>
        <w:pStyle w:val="9"/>
        <w:keepNext w:val="0"/>
        <w:keepLines w:val="0"/>
        <w:pageBreakBefore w:val="0"/>
        <w:widowControl/>
        <w:kinsoku/>
        <w:wordWrap/>
        <w:overflowPunct/>
        <w:topLinePunct w:val="0"/>
        <w:bidi w:val="0"/>
        <w:spacing w:beforeAutospacing="0" w:afterAutospacing="0" w:line="560" w:lineRule="exact"/>
        <w:jc w:val="both"/>
        <w:textAlignment w:val="auto"/>
        <w:rPr>
          <w:rFonts w:hint="default" w:ascii="Times New Roman" w:hAnsi="Times New Roman" w:eastAsia="方正仿宋_GBK" w:cs="Times New Roman"/>
          <w:sz w:val="32"/>
          <w:szCs w:val="32"/>
          <w:highlight w:val="none"/>
        </w:rPr>
      </w:pPr>
    </w:p>
    <w:p w14:paraId="6D4DC4B5">
      <w:pPr>
        <w:pStyle w:val="9"/>
        <w:keepNext w:val="0"/>
        <w:keepLines w:val="0"/>
        <w:pageBreakBefore w:val="0"/>
        <w:widowControl/>
        <w:kinsoku/>
        <w:wordWrap/>
        <w:overflowPunct/>
        <w:topLinePunct w:val="0"/>
        <w:bidi w:val="0"/>
        <w:spacing w:beforeAutospacing="0" w:afterAutospacing="0" w:line="560" w:lineRule="exact"/>
        <w:ind w:firstLine="640" w:firstLineChars="200"/>
        <w:jc w:val="both"/>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为深入贯彻落实《自治区党委 自治区人民政府关于全面实施预算绩效管理的实施意见》（新党发〔2018〕30号）文件精神，</w:t>
      </w:r>
      <w:r>
        <w:rPr>
          <w:rFonts w:hint="default" w:ascii="Times New Roman" w:hAnsi="Times New Roman" w:eastAsia="方正仿宋_GBK" w:cs="Times New Roman"/>
          <w:sz w:val="32"/>
          <w:szCs w:val="32"/>
          <w:highlight w:val="none"/>
          <w:lang w:eastAsia="zh-CN"/>
        </w:rPr>
        <w:t>自治区交通运输厅</w:t>
      </w:r>
      <w:r>
        <w:rPr>
          <w:rFonts w:hint="default" w:ascii="Times New Roman" w:hAnsi="Times New Roman" w:eastAsia="方正仿宋_GBK" w:cs="Times New Roman"/>
          <w:sz w:val="32"/>
          <w:szCs w:val="32"/>
          <w:highlight w:val="none"/>
        </w:rPr>
        <w:t>按照全方位、全过程、全覆盖预算绩效管理要求，将单位整体支出预算纳入全过程绩效管理，进一步强化绩效理念，提高财政资金使用效益</w:t>
      </w:r>
      <w:r>
        <w:rPr>
          <w:rFonts w:hint="eastAsia"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现将我</w:t>
      </w:r>
      <w:r>
        <w:rPr>
          <w:rFonts w:hint="eastAsia" w:ascii="Times New Roman" w:hAnsi="Times New Roman" w:eastAsia="方正仿宋_GBK" w:cs="Times New Roman"/>
          <w:sz w:val="32"/>
          <w:szCs w:val="32"/>
          <w:highlight w:val="none"/>
          <w:lang w:eastAsia="zh-CN"/>
        </w:rPr>
        <w:t>单位</w:t>
      </w:r>
      <w:r>
        <w:rPr>
          <w:rFonts w:hint="default" w:ascii="Times New Roman" w:hAnsi="Times New Roman" w:eastAsia="方正仿宋_GBK" w:cs="Times New Roman"/>
          <w:sz w:val="32"/>
          <w:szCs w:val="32"/>
          <w:highlight w:val="none"/>
        </w:rPr>
        <w:t>202</w:t>
      </w:r>
      <w:r>
        <w:rPr>
          <w:rFonts w:hint="eastAsia"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rPr>
        <w:t>年整体支出绩效</w:t>
      </w:r>
      <w:r>
        <w:rPr>
          <w:rFonts w:hint="default" w:ascii="Times New Roman" w:hAnsi="Times New Roman" w:eastAsia="方正仿宋_GBK" w:cs="Times New Roman"/>
          <w:sz w:val="32"/>
          <w:szCs w:val="32"/>
          <w:highlight w:val="none"/>
          <w:lang w:eastAsia="zh-CN"/>
        </w:rPr>
        <w:t>自评情况汇报</w:t>
      </w:r>
      <w:r>
        <w:rPr>
          <w:rFonts w:hint="default" w:ascii="Times New Roman" w:hAnsi="Times New Roman" w:eastAsia="方正仿宋_GBK" w:cs="Times New Roman"/>
          <w:sz w:val="32"/>
          <w:szCs w:val="32"/>
          <w:highlight w:val="none"/>
        </w:rPr>
        <w:t>如下：</w:t>
      </w:r>
      <w:bookmarkStart w:id="0" w:name="_Toc69718308"/>
    </w:p>
    <w:p w14:paraId="0C4B2D9A">
      <w:pPr>
        <w:pStyle w:val="9"/>
        <w:keepNext w:val="0"/>
        <w:keepLines w:val="0"/>
        <w:pageBreakBefore w:val="0"/>
        <w:widowControl/>
        <w:kinsoku/>
        <w:wordWrap/>
        <w:overflowPunct/>
        <w:topLinePunct w:val="0"/>
        <w:bidi w:val="0"/>
        <w:spacing w:beforeAutospacing="0" w:afterAutospacing="0" w:line="560" w:lineRule="exact"/>
        <w:ind w:firstLine="640" w:firstLineChars="200"/>
        <w:jc w:val="both"/>
        <w:textAlignment w:val="auto"/>
        <w:outlineLvl w:val="0"/>
        <w:rPr>
          <w:rFonts w:hint="default" w:ascii="Times New Roman" w:hAnsi="Times New Roman" w:eastAsia="方正黑体_GBK" w:cs="Times New Roman"/>
          <w:sz w:val="32"/>
          <w:szCs w:val="32"/>
          <w:highlight w:val="none"/>
          <w:lang w:bidi="ar"/>
        </w:rPr>
      </w:pPr>
      <w:r>
        <w:rPr>
          <w:rFonts w:hint="default" w:ascii="Times New Roman" w:hAnsi="Times New Roman" w:eastAsia="方正黑体_GBK" w:cs="Times New Roman"/>
          <w:sz w:val="32"/>
          <w:szCs w:val="32"/>
          <w:highlight w:val="none"/>
          <w:lang w:bidi="ar"/>
        </w:rPr>
        <w:t>一、基本</w:t>
      </w:r>
      <w:bookmarkEnd w:id="0"/>
      <w:bookmarkStart w:id="1" w:name="_Toc69718309"/>
      <w:r>
        <w:rPr>
          <w:rFonts w:hint="default" w:ascii="Times New Roman" w:hAnsi="Times New Roman" w:eastAsia="方正黑体_GBK" w:cs="Times New Roman"/>
          <w:sz w:val="32"/>
          <w:szCs w:val="32"/>
          <w:highlight w:val="none"/>
          <w:lang w:bidi="ar"/>
        </w:rPr>
        <w:t>概况</w:t>
      </w:r>
    </w:p>
    <w:p w14:paraId="1C590D6E">
      <w:pPr>
        <w:pStyle w:val="9"/>
        <w:keepNext w:val="0"/>
        <w:keepLines w:val="0"/>
        <w:pageBreakBefore w:val="0"/>
        <w:widowControl/>
        <w:kinsoku/>
        <w:wordWrap/>
        <w:overflowPunct/>
        <w:topLinePunct w:val="0"/>
        <w:bidi w:val="0"/>
        <w:spacing w:beforeAutospacing="0" w:afterAutospacing="0" w:line="560" w:lineRule="exact"/>
        <w:ind w:firstLine="640" w:firstLineChars="200"/>
        <w:jc w:val="both"/>
        <w:textAlignment w:val="auto"/>
        <w:outlineLvl w:val="1"/>
        <w:rPr>
          <w:rFonts w:hint="default" w:ascii="Times New Roman" w:hAnsi="Times New Roman" w:eastAsia="方正仿宋_GBK" w:cs="Times New Roman"/>
          <w:kern w:val="2"/>
          <w:sz w:val="32"/>
          <w:szCs w:val="32"/>
          <w:highlight w:val="none"/>
        </w:rPr>
      </w:pPr>
      <w:r>
        <w:rPr>
          <w:rFonts w:hint="default" w:ascii="Times New Roman" w:hAnsi="Times New Roman" w:eastAsia="方正楷体_GBK" w:cs="Times New Roman"/>
          <w:kern w:val="2"/>
          <w:sz w:val="32"/>
          <w:szCs w:val="32"/>
          <w:highlight w:val="none"/>
        </w:rPr>
        <w:t>（一）部门单位基本情况</w:t>
      </w:r>
      <w:bookmarkEnd w:id="1"/>
    </w:p>
    <w:p w14:paraId="184AEB0A">
      <w:pPr>
        <w:keepNext w:val="0"/>
        <w:keepLines w:val="0"/>
        <w:pageBreakBefore w:val="0"/>
        <w:widowControl/>
        <w:kinsoku/>
        <w:wordWrap/>
        <w:overflowPunct/>
        <w:topLinePunct w:val="0"/>
        <w:bidi w:val="0"/>
        <w:spacing w:line="560" w:lineRule="exact"/>
        <w:ind w:firstLine="640" w:firstLineChars="200"/>
        <w:jc w:val="left"/>
        <w:textAlignment w:val="auto"/>
        <w:outlineLvl w:val="2"/>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rPr>
        <w:t>1</w:t>
      </w:r>
      <w:r>
        <w:rPr>
          <w:rFonts w:hint="default" w:ascii="Times New Roman" w:hAnsi="Times New Roman" w:eastAsia="方正仿宋_GBK" w:cs="Times New Roman"/>
          <w:sz w:val="32"/>
          <w:szCs w:val="32"/>
          <w:highlight w:val="none"/>
          <w:shd w:val="clear" w:color="auto" w:fill="FFFFFF"/>
          <w:lang w:val="en-US" w:eastAsia="zh-CN"/>
        </w:rPr>
        <w:t>.</w:t>
      </w:r>
      <w:r>
        <w:rPr>
          <w:rFonts w:hint="default" w:ascii="Times New Roman" w:hAnsi="Times New Roman" w:eastAsia="方正仿宋_GBK" w:cs="Times New Roman"/>
          <w:sz w:val="32"/>
          <w:szCs w:val="32"/>
          <w:highlight w:val="none"/>
          <w:shd w:val="clear" w:color="auto" w:fill="FFFFFF"/>
        </w:rPr>
        <w:t>机构人员构成</w:t>
      </w:r>
    </w:p>
    <w:p w14:paraId="71D256A5">
      <w:pPr>
        <w:pStyle w:val="21"/>
        <w:keepNext w:val="0"/>
        <w:keepLines w:val="0"/>
        <w:pageBreakBefore w:val="0"/>
        <w:kinsoku/>
        <w:wordWrap/>
        <w:overflowPunct/>
        <w:topLinePunct w:val="0"/>
        <w:bidi w:val="0"/>
        <w:spacing w:line="560" w:lineRule="exact"/>
        <w:ind w:firstLine="64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shd w:val="clear" w:color="auto" w:fill="FFFFFF"/>
        </w:rPr>
        <w:t>截</w:t>
      </w:r>
      <w:r>
        <w:rPr>
          <w:rFonts w:hint="eastAsia" w:ascii="Times New Roman" w:hAnsi="Times New Roman" w:eastAsia="方正仿宋_GBK" w:cs="Times New Roman"/>
          <w:sz w:val="32"/>
          <w:szCs w:val="32"/>
          <w:highlight w:val="none"/>
          <w:shd w:val="clear" w:color="auto" w:fill="FFFFFF"/>
          <w:lang w:eastAsia="zh-CN"/>
        </w:rPr>
        <w:t>至</w:t>
      </w:r>
      <w:bookmarkStart w:id="35" w:name="_GoBack"/>
      <w:bookmarkEnd w:id="35"/>
      <w:r>
        <w:rPr>
          <w:rFonts w:hint="default" w:ascii="Times New Roman" w:hAnsi="Times New Roman" w:eastAsia="方正仿宋_GBK" w:cs="Times New Roman"/>
          <w:sz w:val="32"/>
          <w:szCs w:val="32"/>
          <w:highlight w:val="none"/>
          <w:shd w:val="clear" w:color="auto" w:fill="FFFFFF"/>
        </w:rPr>
        <w:t>202</w:t>
      </w:r>
      <w:r>
        <w:rPr>
          <w:rFonts w:hint="eastAsia" w:ascii="Times New Roman" w:hAnsi="Times New Roman" w:eastAsia="方正仿宋_GBK" w:cs="Times New Roman"/>
          <w:sz w:val="32"/>
          <w:szCs w:val="32"/>
          <w:highlight w:val="none"/>
          <w:shd w:val="clear" w:color="auto" w:fill="FFFFFF"/>
          <w:lang w:val="en-US" w:eastAsia="zh-CN"/>
        </w:rPr>
        <w:t>5</w:t>
      </w:r>
      <w:r>
        <w:rPr>
          <w:rFonts w:hint="default" w:ascii="Times New Roman" w:hAnsi="Times New Roman" w:eastAsia="方正仿宋_GBK" w:cs="Times New Roman"/>
          <w:sz w:val="32"/>
          <w:szCs w:val="32"/>
          <w:highlight w:val="none"/>
          <w:shd w:val="clear" w:color="auto" w:fill="FFFFFF"/>
        </w:rPr>
        <w:t>年12月，自治区交通运输厅实有人数</w:t>
      </w:r>
      <w:r>
        <w:rPr>
          <w:rFonts w:hint="default" w:ascii="Times New Roman" w:hAnsi="Times New Roman" w:eastAsia="方正仿宋_GBK" w:cs="Times New Roman"/>
          <w:sz w:val="32"/>
          <w:szCs w:val="32"/>
          <w:highlight w:val="none"/>
          <w:shd w:val="clear" w:color="auto" w:fill="FFFFFF"/>
          <w:lang w:val="en-US" w:eastAsia="zh-CN"/>
        </w:rPr>
        <w:t>26</w:t>
      </w:r>
      <w:r>
        <w:rPr>
          <w:rFonts w:hint="eastAsia" w:ascii="Times New Roman" w:hAnsi="Times New Roman" w:eastAsia="方正仿宋_GBK" w:cs="Times New Roman"/>
          <w:sz w:val="32"/>
          <w:szCs w:val="32"/>
          <w:highlight w:val="none"/>
          <w:shd w:val="clear" w:color="auto" w:fill="FFFFFF"/>
          <w:lang w:val="en-US" w:eastAsia="zh-CN"/>
        </w:rPr>
        <w:t>,</w:t>
      </w:r>
      <w:r>
        <w:rPr>
          <w:rFonts w:hint="default" w:ascii="Times New Roman" w:hAnsi="Times New Roman" w:eastAsia="方正仿宋_GBK" w:cs="Times New Roman"/>
          <w:sz w:val="32"/>
          <w:szCs w:val="32"/>
          <w:highlight w:val="none"/>
          <w:shd w:val="clear" w:color="auto" w:fill="FFFFFF"/>
          <w:lang w:val="en-US" w:eastAsia="zh-CN"/>
        </w:rPr>
        <w:t>792</w:t>
      </w:r>
      <w:r>
        <w:rPr>
          <w:rFonts w:hint="default" w:ascii="Times New Roman" w:hAnsi="Times New Roman" w:eastAsia="方正仿宋_GBK" w:cs="Times New Roman"/>
          <w:sz w:val="32"/>
          <w:szCs w:val="32"/>
          <w:highlight w:val="none"/>
          <w:shd w:val="clear" w:color="auto" w:fill="FFFFFF"/>
        </w:rPr>
        <w:t>人，其中：在职12,212人，退休14</w:t>
      </w:r>
      <w:r>
        <w:rPr>
          <w:rFonts w:hint="eastAsia" w:ascii="Times New Roman" w:hAnsi="Times New Roman" w:eastAsia="方正仿宋_GBK" w:cs="Times New Roman"/>
          <w:sz w:val="32"/>
          <w:szCs w:val="32"/>
          <w:highlight w:val="none"/>
          <w:shd w:val="clear" w:color="auto" w:fill="FFFFFF"/>
          <w:lang w:val="en-US" w:eastAsia="zh-CN"/>
        </w:rPr>
        <w:t>,</w:t>
      </w:r>
      <w:r>
        <w:rPr>
          <w:rFonts w:hint="default" w:ascii="Times New Roman" w:hAnsi="Times New Roman" w:eastAsia="方正仿宋_GBK" w:cs="Times New Roman"/>
          <w:sz w:val="32"/>
          <w:szCs w:val="32"/>
          <w:highlight w:val="none"/>
          <w:shd w:val="clear" w:color="auto" w:fill="FFFFFF"/>
        </w:rPr>
        <w:t>568人</w:t>
      </w:r>
      <w:r>
        <w:rPr>
          <w:rFonts w:hint="default" w:ascii="Times New Roman" w:hAnsi="Times New Roman" w:eastAsia="方正仿宋_GBK" w:cs="Times New Roman"/>
          <w:color w:val="auto"/>
          <w:sz w:val="32"/>
          <w:szCs w:val="32"/>
          <w:highlight w:val="none"/>
          <w:shd w:val="clear" w:color="auto" w:fill="FFFFFF"/>
        </w:rPr>
        <w:t>，离休</w:t>
      </w:r>
      <w:r>
        <w:rPr>
          <w:rFonts w:hint="eastAsia" w:ascii="仿宋_GB2312" w:hAnsi="仿宋" w:eastAsia="仿宋_GB2312"/>
          <w:color w:val="auto"/>
          <w:sz w:val="32"/>
          <w:szCs w:val="32"/>
          <w:highlight w:val="none"/>
          <w:lang w:val="en-US" w:eastAsia="zh-CN"/>
        </w:rPr>
        <w:t>12</w:t>
      </w:r>
      <w:r>
        <w:rPr>
          <w:rFonts w:hint="default" w:ascii="Times New Roman" w:hAnsi="Times New Roman" w:eastAsia="方正仿宋_GBK" w:cs="Times New Roman"/>
          <w:color w:val="auto"/>
          <w:sz w:val="32"/>
          <w:szCs w:val="32"/>
          <w:highlight w:val="none"/>
          <w:shd w:val="clear" w:color="auto" w:fill="FFFFFF"/>
        </w:rPr>
        <w:t>人。</w:t>
      </w:r>
      <w:r>
        <w:rPr>
          <w:rFonts w:hint="default" w:ascii="Times New Roman" w:hAnsi="Times New Roman" w:eastAsia="方正仿宋_GBK" w:cs="Times New Roman"/>
          <w:color w:val="auto"/>
          <w:sz w:val="32"/>
          <w:szCs w:val="32"/>
          <w:highlight w:val="none"/>
        </w:rPr>
        <w:t>部</w:t>
      </w:r>
      <w:r>
        <w:rPr>
          <w:rFonts w:hint="default" w:ascii="Times New Roman" w:hAnsi="Times New Roman" w:eastAsia="方正仿宋_GBK" w:cs="Times New Roman"/>
          <w:sz w:val="32"/>
          <w:szCs w:val="32"/>
          <w:highlight w:val="none"/>
        </w:rPr>
        <w:t>门本级下设1</w:t>
      </w:r>
      <w:r>
        <w:rPr>
          <w:rFonts w:hint="default" w:ascii="Times New Roman" w:hAnsi="Times New Roman" w:eastAsia="方正仿宋_GBK" w:cs="Times New Roman"/>
          <w:sz w:val="32"/>
          <w:szCs w:val="32"/>
          <w:highlight w:val="none"/>
          <w:lang w:val="en-US" w:eastAsia="zh-CN"/>
        </w:rPr>
        <w:t>7</w:t>
      </w:r>
      <w:r>
        <w:rPr>
          <w:rFonts w:hint="default" w:ascii="Times New Roman" w:hAnsi="Times New Roman" w:eastAsia="方正仿宋_GBK" w:cs="Times New Roman"/>
          <w:sz w:val="32"/>
          <w:szCs w:val="32"/>
          <w:highlight w:val="none"/>
        </w:rPr>
        <w:t>个处室，分别是办公室、政策法规处、综合规划处、运输管理处、</w:t>
      </w:r>
      <w:r>
        <w:rPr>
          <w:rFonts w:hint="default" w:ascii="Times New Roman" w:hAnsi="Times New Roman" w:eastAsia="方正仿宋_GBK" w:cs="Times New Roman"/>
          <w:sz w:val="32"/>
          <w:szCs w:val="32"/>
          <w:highlight w:val="none"/>
          <w:lang w:eastAsia="zh-CN"/>
        </w:rPr>
        <w:t>交通战备处、</w:t>
      </w:r>
      <w:r>
        <w:rPr>
          <w:rFonts w:hint="default" w:ascii="Times New Roman" w:hAnsi="Times New Roman" w:eastAsia="方正仿宋_GBK" w:cs="Times New Roman"/>
          <w:sz w:val="32"/>
          <w:szCs w:val="32"/>
          <w:highlight w:val="none"/>
        </w:rPr>
        <w:t>安全监督处、建设管理处、公路管理处、农村公路管理处、财务处、审计处、基层党建处、科技信息处、人事处、机关党委（机关纪委）、离退休干部工作处、交通运输工会。</w:t>
      </w:r>
    </w:p>
    <w:p w14:paraId="553A95C8">
      <w:pPr>
        <w:keepNext w:val="0"/>
        <w:keepLines w:val="0"/>
        <w:pageBreakBefore w:val="0"/>
        <w:widowControl/>
        <w:kinsoku/>
        <w:wordWrap/>
        <w:overflowPunct/>
        <w:topLinePunct w:val="0"/>
        <w:bidi w:val="0"/>
        <w:spacing w:line="560" w:lineRule="exact"/>
        <w:ind w:firstLine="640" w:firstLineChars="200"/>
        <w:jc w:val="left"/>
        <w:textAlignment w:val="auto"/>
        <w:outlineLvl w:val="2"/>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2.主要职能</w:t>
      </w:r>
    </w:p>
    <w:p w14:paraId="3BFD1CF6">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（1）贯彻落实交通运输行业法律、法规、规章，起草有关地方性法规、政府规章草案和政策措施并监督实施。</w:t>
      </w:r>
    </w:p>
    <w:p w14:paraId="647B6E79">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（2）</w:t>
      </w:r>
      <w:r>
        <w:rPr>
          <w:rFonts w:hint="default" w:ascii="Times New Roman" w:hAnsi="Times New Roman" w:eastAsia="方正仿宋_GBK" w:cs="Times New Roman"/>
          <w:kern w:val="0"/>
          <w:sz w:val="32"/>
          <w:szCs w:val="32"/>
          <w:highlight w:val="none"/>
          <w:lang w:eastAsia="zh-CN"/>
        </w:rPr>
        <w:t>拟定公路</w:t>
      </w:r>
      <w:r>
        <w:rPr>
          <w:rFonts w:hint="default" w:ascii="Times New Roman" w:hAnsi="Times New Roman" w:eastAsia="方正仿宋_GBK" w:cs="Times New Roman"/>
          <w:kern w:val="0"/>
          <w:sz w:val="32"/>
          <w:szCs w:val="32"/>
          <w:highlight w:val="none"/>
        </w:rPr>
        <w:t>、水路交通运输发展规划并监督实施。会同有关部门组织编制综合交通运输体系规划，承担公路运输枢纽总体规划审批。参与</w:t>
      </w:r>
      <w:r>
        <w:rPr>
          <w:rFonts w:hint="default" w:ascii="Times New Roman" w:hAnsi="Times New Roman" w:eastAsia="方正仿宋_GBK" w:cs="Times New Roman"/>
          <w:kern w:val="0"/>
          <w:sz w:val="32"/>
          <w:szCs w:val="32"/>
          <w:highlight w:val="none"/>
          <w:lang w:eastAsia="zh-CN"/>
        </w:rPr>
        <w:t>拟定</w:t>
      </w:r>
      <w:r>
        <w:rPr>
          <w:rFonts w:hint="default" w:ascii="Times New Roman" w:hAnsi="Times New Roman" w:eastAsia="方正仿宋_GBK" w:cs="Times New Roman"/>
          <w:kern w:val="0"/>
          <w:sz w:val="32"/>
          <w:szCs w:val="32"/>
          <w:highlight w:val="none"/>
        </w:rPr>
        <w:t>交通物流业发展战略与规划。</w:t>
      </w:r>
    </w:p>
    <w:p w14:paraId="59C7CC56">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3）承担自治区道路、水路交通运输综合管理及其市场监管工作。制定道路、水路运输有关政策、准入制度、技术规范和运营规范并监督实施。指导城乡交通运输协调发展和城乡交通运输一体化，指导出租汽车行业管理。承担国际道路运输有关管理工作。指导城市轨道交通运营管理。</w:t>
      </w:r>
    </w:p>
    <w:p w14:paraId="343F905D">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（4）指导地方海事工作。指导管辖水域内河船舶、渔船及相关水上设施检验和监督管理等工作。指导内河船舶船员管理工作。监督水上交通安全工作，依法组织或参与有关事故的调查处理和责任认定。</w:t>
      </w:r>
    </w:p>
    <w:p w14:paraId="26C7061B">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（5）负责提出交通运输厅系统财政性资金安排意见并监督管理，协调交通建设资金的筹集。</w:t>
      </w:r>
      <w:r>
        <w:rPr>
          <w:rFonts w:hint="default" w:ascii="Times New Roman" w:hAnsi="Times New Roman" w:eastAsia="方正仿宋_GBK" w:cs="Times New Roman"/>
          <w:kern w:val="0"/>
          <w:sz w:val="32"/>
          <w:szCs w:val="32"/>
          <w:highlight w:val="none"/>
          <w:lang w:eastAsia="zh-CN"/>
        </w:rPr>
        <w:t>拟定公路</w:t>
      </w:r>
      <w:r>
        <w:rPr>
          <w:rFonts w:hint="default" w:ascii="Times New Roman" w:hAnsi="Times New Roman" w:eastAsia="方正仿宋_GBK" w:cs="Times New Roman"/>
          <w:kern w:val="0"/>
          <w:sz w:val="32"/>
          <w:szCs w:val="32"/>
          <w:highlight w:val="none"/>
        </w:rPr>
        <w:t>、水路有关收费政策。会同有关部门</w:t>
      </w:r>
      <w:r>
        <w:rPr>
          <w:rFonts w:hint="default" w:ascii="Times New Roman" w:hAnsi="Times New Roman" w:eastAsia="方正仿宋_GBK" w:cs="Times New Roman"/>
          <w:kern w:val="0"/>
          <w:sz w:val="32"/>
          <w:szCs w:val="32"/>
          <w:highlight w:val="none"/>
          <w:lang w:eastAsia="zh-CN"/>
        </w:rPr>
        <w:t>拟定</w:t>
      </w:r>
      <w:r>
        <w:rPr>
          <w:rFonts w:hint="default" w:ascii="Times New Roman" w:hAnsi="Times New Roman" w:eastAsia="方正仿宋_GBK" w:cs="Times New Roman"/>
          <w:kern w:val="0"/>
          <w:sz w:val="32"/>
          <w:szCs w:val="32"/>
          <w:highlight w:val="none"/>
        </w:rPr>
        <w:t>交通运输行业价格。</w:t>
      </w:r>
    </w:p>
    <w:p w14:paraId="14DDBFC7">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6）承担公路、水路建设市场监管工作，维护交通建设市场公平竞争秩序。制定公路、水运工程建设有关制度和技术规范并监督实施。承担管辖交通建设项目的招投标监督管理、市场准入、竣工验收和质量监督等工作。组织制定公路工程补充性造价依据和计价依据。</w:t>
      </w:r>
    </w:p>
    <w:p w14:paraId="036F5EB1">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7）负责国省道及管辖范围内专用公路的建设、养护、管理，依法保护公路路产路权。监督指导货运车辆超限治理工作。负责管辖收费公路管理及公路联网收费的组织协调和监管工作。指导地方公路建设、管理、养护、运营工作。</w:t>
      </w:r>
    </w:p>
    <w:p w14:paraId="15874BCA">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（8）指导交通运输行业体制改革。会同有关部门培育交通运输市场、交通建设市场，负责培育和管理公路养护市场。负责交通运输行业信用体系建设工作。</w:t>
      </w:r>
    </w:p>
    <w:p w14:paraId="28D243FE">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（9）负责交通运输行业安全生产的监督管理。负责运行监测和应急处置协调工作，监测分析交通运输运行情况，发布交通运输有关信息。指导交通运输厅系统应急处置工作。</w:t>
      </w:r>
    </w:p>
    <w:p w14:paraId="4D3218B3">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 xml:space="preserve">（10）制定交通运输行业科技政策，承担交通科技项目管理，组织重大交通科技项目攻关，指导交通运输行业信息化建设。指导交通运输行业环境保护和节能减排工作。组织交通运输行业统计、运行分析工作。贯彻国家有关技术标准，起草相关地方技术规范并监督实施。承担交通运输行业标准化协调工作。    </w:t>
      </w:r>
    </w:p>
    <w:p w14:paraId="02C1FE5F">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（11）监督指导交通运输综合行政执法工作。指导交通运输行业的</w:t>
      </w:r>
      <w:r>
        <w:rPr>
          <w:rFonts w:hint="default" w:ascii="Times New Roman" w:hAnsi="Times New Roman" w:eastAsia="方正仿宋_GBK" w:cs="Times New Roman"/>
          <w:kern w:val="0"/>
          <w:sz w:val="32"/>
          <w:szCs w:val="32"/>
          <w:highlight w:val="none"/>
          <w:lang w:eastAsia="zh-CN"/>
        </w:rPr>
        <w:t>法治宣传</w:t>
      </w:r>
      <w:r>
        <w:rPr>
          <w:rFonts w:hint="default" w:ascii="Times New Roman" w:hAnsi="Times New Roman" w:eastAsia="方正仿宋_GBK" w:cs="Times New Roman"/>
          <w:kern w:val="0"/>
          <w:sz w:val="32"/>
          <w:szCs w:val="32"/>
          <w:highlight w:val="none"/>
        </w:rPr>
        <w:t>、行政复议、行政应诉监督工作。指导交通运输行业职业教育和培训工作。指导交通运输行业开展国际经济技术合作与交流及利用外资工作。</w:t>
      </w:r>
    </w:p>
    <w:p w14:paraId="162A5173">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（12）完成自治区党委、自治区人民政府交办的其他任务。</w:t>
      </w:r>
    </w:p>
    <w:p w14:paraId="524A31E9">
      <w:pPr>
        <w:pStyle w:val="9"/>
        <w:keepNext w:val="0"/>
        <w:keepLines w:val="0"/>
        <w:pageBreakBefore w:val="0"/>
        <w:widowControl/>
        <w:kinsoku/>
        <w:wordWrap/>
        <w:overflowPunct/>
        <w:topLinePunct w:val="0"/>
        <w:bidi w:val="0"/>
        <w:spacing w:beforeAutospacing="0" w:afterAutospacing="0" w:line="560" w:lineRule="exact"/>
        <w:ind w:firstLine="640" w:firstLineChars="200"/>
        <w:jc w:val="both"/>
        <w:textAlignment w:val="auto"/>
        <w:outlineLvl w:val="1"/>
        <w:rPr>
          <w:rFonts w:hint="default" w:ascii="Times New Roman" w:hAnsi="Times New Roman" w:eastAsia="方正楷体_GBK" w:cs="Times New Roman"/>
          <w:kern w:val="2"/>
          <w:sz w:val="32"/>
          <w:szCs w:val="32"/>
          <w:highlight w:val="none"/>
        </w:rPr>
      </w:pPr>
      <w:r>
        <w:rPr>
          <w:rFonts w:hint="default" w:ascii="Times New Roman" w:hAnsi="Times New Roman" w:eastAsia="方正楷体_GBK" w:cs="Times New Roman"/>
          <w:kern w:val="2"/>
          <w:sz w:val="32"/>
          <w:szCs w:val="32"/>
          <w:highlight w:val="none"/>
        </w:rPr>
        <w:t>（</w:t>
      </w:r>
      <w:r>
        <w:rPr>
          <w:rFonts w:hint="default" w:ascii="Times New Roman" w:hAnsi="Times New Roman" w:eastAsia="方正楷体_GBK" w:cs="Times New Roman"/>
          <w:kern w:val="2"/>
          <w:sz w:val="32"/>
          <w:szCs w:val="32"/>
          <w:highlight w:val="none"/>
          <w:lang w:val="en-US" w:eastAsia="zh-CN"/>
        </w:rPr>
        <w:t>二</w:t>
      </w:r>
      <w:r>
        <w:rPr>
          <w:rFonts w:hint="default" w:ascii="Times New Roman" w:hAnsi="Times New Roman" w:eastAsia="方正楷体_GBK" w:cs="Times New Roman"/>
          <w:kern w:val="2"/>
          <w:sz w:val="32"/>
          <w:szCs w:val="32"/>
          <w:highlight w:val="none"/>
        </w:rPr>
        <w:t>）部门单位年度重点工作</w:t>
      </w:r>
    </w:p>
    <w:p w14:paraId="77844940">
      <w:pPr>
        <w:pStyle w:val="2"/>
        <w:keepNext w:val="0"/>
        <w:keepLines w:val="0"/>
        <w:pageBreakBefore w:val="0"/>
        <w:kinsoku/>
        <w:wordWrap/>
        <w:overflowPunct/>
        <w:topLinePunct w:val="0"/>
        <w:bidi w:val="0"/>
        <w:spacing w:after="0" w:line="560" w:lineRule="exact"/>
        <w:textAlignment w:val="auto"/>
        <w:rPr>
          <w:rFonts w:hint="default" w:ascii="Times New Roman" w:hAnsi="Times New Roman" w:eastAsia="方正仿宋_GBK" w:cs="Times New Roman"/>
          <w:color w:val="auto"/>
          <w:kern w:val="2"/>
          <w:sz w:val="32"/>
          <w:szCs w:val="32"/>
          <w:highlight w:val="none"/>
          <w:u w:val="none"/>
          <w:lang w:val="en-US" w:eastAsia="zh-CN" w:bidi="ar-SA"/>
        </w:rPr>
      </w:pPr>
      <w:r>
        <w:rPr>
          <w:rFonts w:hint="default" w:ascii="Times New Roman" w:hAnsi="Times New Roman" w:eastAsia="方正仿宋_GBK" w:cs="Times New Roman"/>
          <w:color w:val="auto"/>
          <w:kern w:val="2"/>
          <w:sz w:val="32"/>
          <w:szCs w:val="32"/>
          <w:highlight w:val="none"/>
          <w:u w:val="none"/>
          <w:lang w:val="en-US" w:eastAsia="zh-CN" w:bidi="ar-SA"/>
        </w:rPr>
        <w:t>202</w:t>
      </w:r>
      <w:r>
        <w:rPr>
          <w:rFonts w:hint="eastAsia" w:ascii="Times New Roman" w:hAnsi="Times New Roman" w:eastAsia="方正仿宋_GBK" w:cs="Times New Roman"/>
          <w:color w:val="auto"/>
          <w:kern w:val="2"/>
          <w:sz w:val="32"/>
          <w:szCs w:val="32"/>
          <w:highlight w:val="none"/>
          <w:u w:val="none"/>
          <w:lang w:val="en-US" w:eastAsia="zh-CN" w:bidi="ar-SA"/>
        </w:rPr>
        <w:t>5</w:t>
      </w:r>
      <w:r>
        <w:rPr>
          <w:rFonts w:hint="default" w:ascii="Times New Roman" w:hAnsi="Times New Roman" w:eastAsia="方正仿宋_GBK" w:cs="Times New Roman"/>
          <w:color w:val="auto"/>
          <w:kern w:val="2"/>
          <w:sz w:val="32"/>
          <w:szCs w:val="32"/>
          <w:highlight w:val="none"/>
          <w:u w:val="none"/>
          <w:lang w:val="en-US" w:eastAsia="zh-CN" w:bidi="ar-SA"/>
        </w:rPr>
        <w:t>年，全区交通运输行业认真学习贯彻落实党的二十大和二十届历次全会精神，贯彻落实习近平总书记关于交通强国重要论述和关于新疆工作的重要讲话重要指示批示精神，特别是习近平总书记出席自治区成立70周年庆祝活动期间的重要讲话重要指示精神，贯彻落实自治区党委十届历次全会精神，在自治区党委和人民政府的坚强领导下，在交通运输部等国家部委的关心指导下，锚定“五大战略定位”,以敢打硬仗的决心攻坚克难，以实干担当的姿态奋勇争先，用经纬交织的路网筑牢发展根基，用改革创新的举措激活内生动力，用暖心惠民的服务回应群众期盼，加快构建“大交通、大服务、大融合、大发展”综合交通体系，在服务保障全区经济社会高质量发展中彰显交通担当、贡献交通力量。</w:t>
      </w:r>
    </w:p>
    <w:p w14:paraId="387F5C80">
      <w:pPr>
        <w:keepNext w:val="0"/>
        <w:keepLines w:val="0"/>
        <w:pageBreakBefore w:val="0"/>
        <w:kinsoku/>
        <w:wordWrap/>
        <w:overflowPunct/>
        <w:topLinePunct w:val="0"/>
        <w:bidi w:val="0"/>
        <w:spacing w:line="560" w:lineRule="exact"/>
        <w:ind w:firstLine="640" w:firstLineChars="200"/>
        <w:textAlignment w:val="auto"/>
        <w:outlineLvl w:val="1"/>
        <w:rPr>
          <w:rFonts w:hint="default" w:ascii="Times New Roman" w:hAnsi="Times New Roman" w:eastAsia="方正仿宋_GBK" w:cs="Times New Roman"/>
          <w:color w:val="auto"/>
          <w:kern w:val="2"/>
          <w:sz w:val="32"/>
          <w:szCs w:val="32"/>
          <w:highlight w:val="none"/>
          <w:u w:val="none"/>
          <w:lang w:val="en-US" w:eastAsia="zh-CN" w:bidi="ar-SA"/>
        </w:rPr>
      </w:pPr>
      <w:r>
        <w:rPr>
          <w:rFonts w:hint="default" w:ascii="Times New Roman" w:hAnsi="Times New Roman" w:eastAsia="方正仿宋_GBK" w:cs="Times New Roman"/>
          <w:color w:val="auto"/>
          <w:kern w:val="2"/>
          <w:sz w:val="32"/>
          <w:szCs w:val="32"/>
          <w:highlight w:val="none"/>
          <w:u w:val="none"/>
          <w:lang w:val="en-US" w:eastAsia="zh-CN" w:bidi="ar-SA"/>
        </w:rPr>
        <w:t>(</w:t>
      </w:r>
      <w:r>
        <w:rPr>
          <w:rFonts w:hint="eastAsia" w:ascii="Times New Roman" w:hAnsi="Times New Roman" w:eastAsia="方正仿宋_GBK" w:cs="Times New Roman"/>
          <w:color w:val="auto"/>
          <w:kern w:val="2"/>
          <w:sz w:val="32"/>
          <w:szCs w:val="32"/>
          <w:highlight w:val="none"/>
          <w:u w:val="none"/>
          <w:lang w:val="en-US" w:eastAsia="zh-CN" w:bidi="ar-SA"/>
        </w:rPr>
        <w:t>1</w:t>
      </w:r>
      <w:r>
        <w:rPr>
          <w:rFonts w:hint="default" w:ascii="Times New Roman" w:hAnsi="Times New Roman" w:eastAsia="方正仿宋_GBK" w:cs="Times New Roman"/>
          <w:color w:val="auto"/>
          <w:kern w:val="2"/>
          <w:sz w:val="32"/>
          <w:szCs w:val="32"/>
          <w:highlight w:val="none"/>
          <w:u w:val="none"/>
          <w:lang w:val="en-US" w:eastAsia="zh-CN" w:bidi="ar-SA"/>
        </w:rPr>
        <w:t>)安全发展能力得到新提升。始终把维护安全稳定摆在首位、全面落实交通运输领域17项重点维稳举措。完成国省干线3883处平交道口、2102处护栏端头整治，实施危桥改造39座、安全设施精细化提升1394公里、灾害防治306公里。建成省级监测预警平台，实现高速公路风险点位监测全覆盖。检验水上客船400艘。强化重要节点和领域风险管控，整改各类隐患4万余处，交通运输亡人事故起数、死亡人数、受伤人数分别下降13.6%、19.3%、31.7%。健全应急预案体系，常态化开展演练</w:t>
      </w:r>
      <w:r>
        <w:rPr>
          <w:rFonts w:hint="eastAsia" w:ascii="Times New Roman" w:hAnsi="Times New Roman" w:eastAsia="方正仿宋_GBK" w:cs="Times New Roman"/>
          <w:color w:val="auto"/>
          <w:kern w:val="2"/>
          <w:sz w:val="32"/>
          <w:szCs w:val="32"/>
          <w:highlight w:val="none"/>
          <w:u w:val="none"/>
          <w:lang w:val="en-US" w:eastAsia="zh-CN" w:bidi="ar-SA"/>
        </w:rPr>
        <w:t>，</w:t>
      </w:r>
      <w:r>
        <w:rPr>
          <w:rFonts w:hint="default" w:ascii="Times New Roman" w:hAnsi="Times New Roman" w:eastAsia="方正仿宋_GBK" w:cs="Times New Roman"/>
          <w:color w:val="auto"/>
          <w:kern w:val="2"/>
          <w:sz w:val="32"/>
          <w:szCs w:val="32"/>
          <w:highlight w:val="none"/>
          <w:u w:val="none"/>
          <w:lang w:val="en-US" w:eastAsia="zh-CN" w:bidi="ar-SA"/>
        </w:rPr>
        <w:t>高效处置各类灾害273起。落实总体国家安全观，推进军民融合发展，加快国边防公路建设，保障重要物资运输安全，强化债务网络、数据安全及舆情风险防控。打造喀喇昆仑公路铸牢中华民族共同体意识实践基地，推动中华文化元素融入361个收费站</w:t>
      </w:r>
      <w:r>
        <w:rPr>
          <w:rFonts w:hint="eastAsia" w:ascii="Times New Roman" w:hAnsi="Times New Roman" w:eastAsia="方正仿宋_GBK" w:cs="Times New Roman"/>
          <w:color w:val="auto"/>
          <w:kern w:val="2"/>
          <w:sz w:val="32"/>
          <w:szCs w:val="32"/>
          <w:highlight w:val="none"/>
          <w:u w:val="none"/>
          <w:lang w:val="en-US" w:eastAsia="zh-CN" w:bidi="ar-SA"/>
        </w:rPr>
        <w:t>、</w:t>
      </w:r>
      <w:r>
        <w:rPr>
          <w:rFonts w:hint="default" w:ascii="Times New Roman" w:hAnsi="Times New Roman" w:eastAsia="方正仿宋_GBK" w:cs="Times New Roman"/>
          <w:color w:val="auto"/>
          <w:kern w:val="2"/>
          <w:sz w:val="32"/>
          <w:szCs w:val="32"/>
          <w:highlight w:val="none"/>
          <w:u w:val="none"/>
          <w:lang w:val="en-US" w:eastAsia="zh-CN" w:bidi="ar-SA"/>
        </w:rPr>
        <w:t>153个服务区、94个客运站，常态化开展国通语推广、民族团结一家亲及驻村工作。加强“三车”司机服务保障，建成“司机之家”141个、工会驿站28个，领导干部带头接听12328热线，高效处置货车司机投诉4243件，响应率、解决率、满意率“988”目标如期实现，吐鲁番、和田、喀什、阿克苏、乌鲁木齐等地货车司机接诉即办工作措施有力、成效显著,</w:t>
      </w:r>
    </w:p>
    <w:p w14:paraId="705DB2BC">
      <w:pPr>
        <w:keepNext w:val="0"/>
        <w:keepLines w:val="0"/>
        <w:pageBreakBefore w:val="0"/>
        <w:kinsoku/>
        <w:wordWrap/>
        <w:overflowPunct/>
        <w:topLinePunct w:val="0"/>
        <w:bidi w:val="0"/>
        <w:spacing w:line="560" w:lineRule="exact"/>
        <w:ind w:firstLine="640" w:firstLineChars="200"/>
        <w:textAlignment w:val="auto"/>
        <w:outlineLvl w:val="1"/>
        <w:rPr>
          <w:rFonts w:hint="default" w:ascii="Times New Roman" w:hAnsi="Times New Roman" w:eastAsia="方正仿宋_GBK" w:cs="Times New Roman"/>
          <w:color w:val="auto"/>
          <w:kern w:val="2"/>
          <w:sz w:val="32"/>
          <w:szCs w:val="32"/>
          <w:highlight w:val="none"/>
          <w:u w:val="none"/>
          <w:lang w:val="en-US" w:eastAsia="zh-CN" w:bidi="ar-SA"/>
        </w:rPr>
      </w:pPr>
      <w:r>
        <w:rPr>
          <w:rFonts w:hint="default" w:ascii="Times New Roman" w:hAnsi="Times New Roman" w:eastAsia="方正仿宋_GBK" w:cs="Times New Roman"/>
          <w:color w:val="auto"/>
          <w:kern w:val="2"/>
          <w:sz w:val="32"/>
          <w:szCs w:val="32"/>
          <w:highlight w:val="none"/>
          <w:u w:val="none"/>
          <w:lang w:val="en-US" w:eastAsia="zh-CN" w:bidi="ar-SA"/>
        </w:rPr>
        <w:t>(</w:t>
      </w:r>
      <w:r>
        <w:rPr>
          <w:rFonts w:hint="eastAsia" w:ascii="Times New Roman" w:hAnsi="Times New Roman" w:eastAsia="方正仿宋_GBK" w:cs="Times New Roman"/>
          <w:color w:val="auto"/>
          <w:kern w:val="2"/>
          <w:sz w:val="32"/>
          <w:szCs w:val="32"/>
          <w:highlight w:val="none"/>
          <w:u w:val="none"/>
          <w:lang w:val="en-US" w:eastAsia="zh-CN" w:bidi="ar-SA"/>
        </w:rPr>
        <w:t>2</w:t>
      </w:r>
      <w:r>
        <w:rPr>
          <w:rFonts w:hint="default" w:ascii="Times New Roman" w:hAnsi="Times New Roman" w:eastAsia="方正仿宋_GBK" w:cs="Times New Roman"/>
          <w:color w:val="auto"/>
          <w:kern w:val="2"/>
          <w:sz w:val="32"/>
          <w:szCs w:val="32"/>
          <w:highlight w:val="none"/>
          <w:u w:val="none"/>
          <w:lang w:val="en-US" w:eastAsia="zh-CN" w:bidi="ar-SA"/>
        </w:rPr>
        <w:t>)路网建设实现新跨越。全年完成公路交通固定资产投资812.17亿元，同比增长15%</w:t>
      </w:r>
      <w:r>
        <w:rPr>
          <w:rFonts w:hint="eastAsia" w:ascii="Times New Roman" w:hAnsi="Times New Roman" w:eastAsia="方正仿宋_GBK" w:cs="Times New Roman"/>
          <w:color w:val="auto"/>
          <w:kern w:val="2"/>
          <w:sz w:val="32"/>
          <w:szCs w:val="32"/>
          <w:highlight w:val="none"/>
          <w:u w:val="none"/>
          <w:lang w:val="en-US" w:eastAsia="zh-CN" w:bidi="ar-SA"/>
        </w:rPr>
        <w:t>，</w:t>
      </w:r>
      <w:r>
        <w:rPr>
          <w:rFonts w:hint="default" w:ascii="Times New Roman" w:hAnsi="Times New Roman" w:eastAsia="方正仿宋_GBK" w:cs="Times New Roman"/>
          <w:color w:val="auto"/>
          <w:kern w:val="2"/>
          <w:sz w:val="32"/>
          <w:szCs w:val="32"/>
          <w:highlight w:val="none"/>
          <w:u w:val="none"/>
          <w:lang w:val="en-US" w:eastAsia="zh-CN" w:bidi="ar-SA"/>
        </w:rPr>
        <w:t>超额完成既定目标任务，其中阿克苏、昌吉等11个地(州、市)狠抓项目建设，超额完成了本地年度投资任务。建成27个国省干线项目，新增1条进出疆通道和5个县、1个口岸、20个3A级及以上景区通高速(一级)公路，实现G331线自治区境内1443公里贯通，世界级工程乌尉高速通车运营，凿穿天山千年阻隔，驾车穿越天山从3小时缩短至20分钟，铺就各族群众幸福路致富路同心路。积极争取中央资金223.1亿元，开工建设G3033奎独库高速等22个重大项目，巴州、哈密市千方百计加快推进项目前期，实现G571线拉配泉至巴什库尔干、S236线淖毛湖至伊吾项目等开工建设。构建全链条项目质量管控体系，落实资金监管“红黄牌”预警机制，平安百年品质工程建设不断深化。完善“1+7+8+N”“十五五”规划体系，形成初步成果。</w:t>
      </w:r>
    </w:p>
    <w:p w14:paraId="4803BABC">
      <w:pPr>
        <w:keepNext w:val="0"/>
        <w:keepLines w:val="0"/>
        <w:pageBreakBefore w:val="0"/>
        <w:kinsoku/>
        <w:wordWrap/>
        <w:overflowPunct/>
        <w:topLinePunct w:val="0"/>
        <w:bidi w:val="0"/>
        <w:spacing w:line="560" w:lineRule="exact"/>
        <w:ind w:firstLine="640" w:firstLineChars="200"/>
        <w:textAlignment w:val="auto"/>
        <w:outlineLvl w:val="1"/>
        <w:rPr>
          <w:rFonts w:hint="default" w:ascii="Times New Roman" w:hAnsi="Times New Roman" w:eastAsia="方正仿宋_GBK" w:cs="Times New Roman"/>
          <w:color w:val="auto"/>
          <w:kern w:val="2"/>
          <w:sz w:val="32"/>
          <w:szCs w:val="32"/>
          <w:highlight w:val="none"/>
          <w:u w:val="none"/>
          <w:lang w:val="en-US" w:eastAsia="zh-CN" w:bidi="ar-SA"/>
        </w:rPr>
      </w:pPr>
      <w:r>
        <w:rPr>
          <w:rFonts w:hint="default" w:ascii="Times New Roman" w:hAnsi="Times New Roman" w:eastAsia="方正仿宋_GBK" w:cs="Times New Roman"/>
          <w:color w:val="auto"/>
          <w:kern w:val="2"/>
          <w:sz w:val="32"/>
          <w:szCs w:val="32"/>
          <w:highlight w:val="none"/>
          <w:u w:val="none"/>
          <w:lang w:val="en-US" w:eastAsia="zh-CN" w:bidi="ar-SA"/>
        </w:rPr>
        <w:t>(</w:t>
      </w:r>
      <w:r>
        <w:rPr>
          <w:rFonts w:hint="eastAsia" w:ascii="Times New Roman" w:hAnsi="Times New Roman" w:eastAsia="方正仿宋_GBK" w:cs="Times New Roman"/>
          <w:color w:val="auto"/>
          <w:kern w:val="2"/>
          <w:sz w:val="32"/>
          <w:szCs w:val="32"/>
          <w:highlight w:val="none"/>
          <w:u w:val="none"/>
          <w:lang w:val="en-US" w:eastAsia="zh-CN" w:bidi="ar-SA"/>
        </w:rPr>
        <w:t>3</w:t>
      </w:r>
      <w:r>
        <w:rPr>
          <w:rFonts w:hint="default" w:ascii="Times New Roman" w:hAnsi="Times New Roman" w:eastAsia="方正仿宋_GBK" w:cs="Times New Roman"/>
          <w:color w:val="auto"/>
          <w:kern w:val="2"/>
          <w:sz w:val="32"/>
          <w:szCs w:val="32"/>
          <w:highlight w:val="none"/>
          <w:u w:val="none"/>
          <w:lang w:val="en-US" w:eastAsia="zh-CN" w:bidi="ar-SA"/>
        </w:rPr>
        <w:t>)运输服务展现新作为。实现全区综合交通运输一体化调度应急指挥，圆满完成春运及重大节假日运输保障，全社会(含兵团)跨区域人员流动量达16.93亿人次，同比增长4.1%,流动的新疆热气腾腾、活力满满。综合交通(含兵团)营业性客货运量同比分别增长2.8%、4.6%</w:t>
      </w:r>
      <w:r>
        <w:rPr>
          <w:rFonts w:hint="eastAsia" w:ascii="Times New Roman" w:hAnsi="Times New Roman" w:eastAsia="方正仿宋_GBK" w:cs="Times New Roman"/>
          <w:color w:val="auto"/>
          <w:kern w:val="2"/>
          <w:sz w:val="32"/>
          <w:szCs w:val="32"/>
          <w:highlight w:val="none"/>
          <w:u w:val="none"/>
          <w:lang w:val="en-US" w:eastAsia="zh-CN" w:bidi="ar-SA"/>
        </w:rPr>
        <w:t>，</w:t>
      </w:r>
      <w:r>
        <w:rPr>
          <w:rFonts w:hint="default" w:ascii="Times New Roman" w:hAnsi="Times New Roman" w:eastAsia="方正仿宋_GBK" w:cs="Times New Roman"/>
          <w:color w:val="auto"/>
          <w:kern w:val="2"/>
          <w:sz w:val="32"/>
          <w:szCs w:val="32"/>
          <w:highlight w:val="none"/>
          <w:u w:val="none"/>
          <w:lang w:val="en-US" w:eastAsia="zh-CN" w:bidi="ar-SA"/>
        </w:rPr>
        <w:t>推动52家规上道路运输企业纳统，公路客货周转量增速位居全国第1和第5。完成公铁联运敞顶箱货运量1.37亿吨、同比增长20.7%。打造“新疆交通亚克西”服务品牌，推介发布15条最美公路、4条云端快线、4条铁路精品旅游线路，新增高速服务区充电桩110台，高质量兑现十大交通民生实事。圆满完成“十四五”国评迎检任务。乌鲁木齐市推动网约车平台规范运营，伊犁州完善小微型客车租赁管理办法，更好服务群众出行；交投集团等运营单位以优质暖心服务传递新疆交通温度。交通运输日益成为展现大美新疆的移动窗口和靓丽名片。</w:t>
      </w:r>
    </w:p>
    <w:p w14:paraId="2801BE8C">
      <w:pPr>
        <w:keepNext w:val="0"/>
        <w:keepLines w:val="0"/>
        <w:pageBreakBefore w:val="0"/>
        <w:kinsoku/>
        <w:wordWrap/>
        <w:overflowPunct/>
        <w:topLinePunct w:val="0"/>
        <w:bidi w:val="0"/>
        <w:spacing w:line="560" w:lineRule="exact"/>
        <w:ind w:firstLine="640" w:firstLineChars="200"/>
        <w:textAlignment w:val="auto"/>
        <w:outlineLvl w:val="1"/>
        <w:rPr>
          <w:rFonts w:hint="default" w:ascii="Times New Roman" w:hAnsi="Times New Roman" w:eastAsia="方正仿宋_GBK" w:cs="Times New Roman"/>
          <w:color w:val="auto"/>
          <w:kern w:val="2"/>
          <w:sz w:val="32"/>
          <w:szCs w:val="32"/>
          <w:highlight w:val="none"/>
          <w:u w:val="none"/>
          <w:lang w:val="en-US" w:eastAsia="zh-CN" w:bidi="ar-SA"/>
        </w:rPr>
      </w:pPr>
      <w:r>
        <w:rPr>
          <w:rFonts w:hint="default" w:ascii="Times New Roman" w:hAnsi="Times New Roman" w:eastAsia="方正仿宋_GBK" w:cs="Times New Roman"/>
          <w:color w:val="auto"/>
          <w:kern w:val="2"/>
          <w:sz w:val="32"/>
          <w:szCs w:val="32"/>
          <w:highlight w:val="none"/>
          <w:u w:val="none"/>
          <w:lang w:val="en-US" w:eastAsia="zh-CN" w:bidi="ar-SA"/>
        </w:rPr>
        <w:t>(</w:t>
      </w:r>
      <w:r>
        <w:rPr>
          <w:rFonts w:hint="eastAsia" w:ascii="Times New Roman" w:hAnsi="Times New Roman" w:eastAsia="方正仿宋_GBK" w:cs="Times New Roman"/>
          <w:color w:val="auto"/>
          <w:kern w:val="2"/>
          <w:sz w:val="32"/>
          <w:szCs w:val="32"/>
          <w:highlight w:val="none"/>
          <w:u w:val="none"/>
          <w:lang w:val="en-US" w:eastAsia="zh-CN" w:bidi="ar-SA"/>
        </w:rPr>
        <w:t>4</w:t>
      </w:r>
      <w:r>
        <w:rPr>
          <w:rFonts w:hint="default" w:ascii="Times New Roman" w:hAnsi="Times New Roman" w:eastAsia="方正仿宋_GBK" w:cs="Times New Roman"/>
          <w:color w:val="auto"/>
          <w:kern w:val="2"/>
          <w:sz w:val="32"/>
          <w:szCs w:val="32"/>
          <w:highlight w:val="none"/>
          <w:u w:val="none"/>
          <w:lang w:val="en-US" w:eastAsia="zh-CN" w:bidi="ar-SA"/>
        </w:rPr>
        <w:t>)“四好农村路”建设取得新成效。全年新改建农村公路7843公里，新增5个乡镇通三级及以上公路、65个10户以上自然村通硬化路，完成危桥改造30座、村道安防工程4773公里。新源县那拉提“盘龙谷道”、布尔津县禾木公路分别获评全国“十大最美农村路”、最美自驾精品路。新增客货邮融合线路30条，挂牌“中邮驿站+乡镇运输服务站”30个，年运邮件超650万件。依托农村公路建设吸纳7200名当地群众就业，南疆护路员从2.2万名增至2.4万名，实现南疆脱贫县全覆盖，为乡村振兴注入交通动能。</w:t>
      </w:r>
    </w:p>
    <w:p w14:paraId="634FFDF8">
      <w:pPr>
        <w:keepNext w:val="0"/>
        <w:keepLines w:val="0"/>
        <w:pageBreakBefore w:val="0"/>
        <w:kinsoku/>
        <w:wordWrap/>
        <w:overflowPunct/>
        <w:topLinePunct w:val="0"/>
        <w:bidi w:val="0"/>
        <w:spacing w:line="560" w:lineRule="exact"/>
        <w:ind w:firstLine="640" w:firstLineChars="200"/>
        <w:textAlignment w:val="auto"/>
        <w:outlineLvl w:val="1"/>
        <w:rPr>
          <w:rFonts w:hint="default" w:ascii="Times New Roman" w:hAnsi="Times New Roman" w:eastAsia="方正仿宋_GBK" w:cs="Times New Roman"/>
          <w:color w:val="auto"/>
          <w:kern w:val="2"/>
          <w:sz w:val="32"/>
          <w:szCs w:val="32"/>
          <w:highlight w:val="none"/>
          <w:u w:val="none"/>
          <w:lang w:val="en-US" w:eastAsia="zh-CN" w:bidi="ar-SA"/>
        </w:rPr>
      </w:pPr>
      <w:r>
        <w:rPr>
          <w:rFonts w:hint="default" w:ascii="Times New Roman" w:hAnsi="Times New Roman" w:eastAsia="方正仿宋_GBK" w:cs="Times New Roman"/>
          <w:color w:val="auto"/>
          <w:kern w:val="2"/>
          <w:sz w:val="32"/>
          <w:szCs w:val="32"/>
          <w:highlight w:val="none"/>
          <w:u w:val="none"/>
          <w:lang w:val="en-US" w:eastAsia="zh-CN" w:bidi="ar-SA"/>
        </w:rPr>
        <w:t>(</w:t>
      </w:r>
      <w:r>
        <w:rPr>
          <w:rFonts w:hint="eastAsia" w:ascii="Times New Roman" w:hAnsi="Times New Roman" w:eastAsia="方正仿宋_GBK" w:cs="Times New Roman"/>
          <w:color w:val="auto"/>
          <w:kern w:val="2"/>
          <w:sz w:val="32"/>
          <w:szCs w:val="32"/>
          <w:highlight w:val="none"/>
          <w:u w:val="none"/>
          <w:lang w:val="en-US" w:eastAsia="zh-CN" w:bidi="ar-SA"/>
        </w:rPr>
        <w:t>5</w:t>
      </w:r>
      <w:r>
        <w:rPr>
          <w:rFonts w:hint="default" w:ascii="Times New Roman" w:hAnsi="Times New Roman" w:eastAsia="方正仿宋_GBK" w:cs="Times New Roman"/>
          <w:color w:val="auto"/>
          <w:kern w:val="2"/>
          <w:sz w:val="32"/>
          <w:szCs w:val="32"/>
          <w:highlight w:val="none"/>
          <w:u w:val="none"/>
          <w:lang w:val="en-US" w:eastAsia="zh-CN" w:bidi="ar-SA"/>
        </w:rPr>
        <w:t>)创新绿色发展迈出新步伐。强化科技创新，举办全国首届寒旱区公路养护现场交流会，高寒高海拔地区山岭超长公路隧道建设、干旱荒漠区建设养护等关键技术走在全国前列，荣获自治区科技进步一等奖2项、专利一等奖1项，行业涌现一大批科技人才，新交科刘杰同志入选“长江学者”。“新疆交通基础设施智能建造项目”获批国家标准化试点。争取中央奖补资金8.7亿元实施亚欧黄金通道公路交通基础设施数字化转型升级项目。实施国家综合交通运输信息平台部省联动试点。优化释放120米以下微轻小型无人驾驶航空器适飞空域。完成交通运输大规模设备更新投资29.7亿元，新增清洁及新能源营运车辆占比达62%。“疆煤外运”铁路发送量达70%以上。喀木斯特养护工区、停车区离网型多能供给列入自治区节能减排项目。</w:t>
      </w:r>
    </w:p>
    <w:p w14:paraId="54F6CB82">
      <w:pPr>
        <w:keepNext w:val="0"/>
        <w:keepLines w:val="0"/>
        <w:pageBreakBefore w:val="0"/>
        <w:kinsoku/>
        <w:wordWrap/>
        <w:overflowPunct/>
        <w:topLinePunct w:val="0"/>
        <w:bidi w:val="0"/>
        <w:spacing w:line="560" w:lineRule="exact"/>
        <w:ind w:firstLine="640" w:firstLineChars="200"/>
        <w:textAlignment w:val="auto"/>
        <w:outlineLvl w:val="1"/>
        <w:rPr>
          <w:rFonts w:hint="default" w:ascii="Times New Roman" w:hAnsi="Times New Roman" w:eastAsia="方正仿宋_GBK" w:cs="Times New Roman"/>
          <w:color w:val="auto"/>
          <w:kern w:val="2"/>
          <w:sz w:val="32"/>
          <w:szCs w:val="32"/>
          <w:highlight w:val="none"/>
          <w:u w:val="none"/>
          <w:lang w:val="en-US" w:eastAsia="zh-CN" w:bidi="ar-SA"/>
        </w:rPr>
      </w:pPr>
      <w:r>
        <w:rPr>
          <w:rFonts w:hint="default" w:ascii="Times New Roman" w:hAnsi="Times New Roman" w:eastAsia="方正仿宋_GBK" w:cs="Times New Roman"/>
          <w:color w:val="auto"/>
          <w:kern w:val="2"/>
          <w:sz w:val="32"/>
          <w:szCs w:val="32"/>
          <w:highlight w:val="none"/>
          <w:u w:val="none"/>
          <w:lang w:val="en-US" w:eastAsia="zh-CN" w:bidi="ar-SA"/>
        </w:rPr>
        <w:t>(</w:t>
      </w:r>
      <w:r>
        <w:rPr>
          <w:rFonts w:hint="eastAsia" w:ascii="Times New Roman" w:hAnsi="Times New Roman" w:eastAsia="方正仿宋_GBK" w:cs="Times New Roman"/>
          <w:color w:val="auto"/>
          <w:kern w:val="2"/>
          <w:sz w:val="32"/>
          <w:szCs w:val="32"/>
          <w:highlight w:val="none"/>
          <w:u w:val="none"/>
          <w:lang w:val="en-US" w:eastAsia="zh-CN" w:bidi="ar-SA"/>
        </w:rPr>
        <w:t>6</w:t>
      </w:r>
      <w:r>
        <w:rPr>
          <w:rFonts w:hint="default" w:ascii="Times New Roman" w:hAnsi="Times New Roman" w:eastAsia="方正仿宋_GBK" w:cs="Times New Roman"/>
          <w:color w:val="auto"/>
          <w:kern w:val="2"/>
          <w:sz w:val="32"/>
          <w:szCs w:val="32"/>
          <w:highlight w:val="none"/>
          <w:u w:val="none"/>
          <w:lang w:val="en-US" w:eastAsia="zh-CN" w:bidi="ar-SA"/>
        </w:rPr>
        <w:t>)行业治理激发新动能。综合交通运输改革取得重大突破，自治区赋予我厅地方铁路、通用航空、低空空域协调管理职责，并增强国际交流合作职能，实现综合交通运输管理转型。3项首批交通强国试点任务通过部验收，获评交通强国试点成效突出单位，交旅融合发展试点被评为成效突出任务，喀什“公路口岸+属地直通”模式、昌吉大宗能源数字物流体系入选全国典型经验。修订交通运输领域财政事权和支出责任划分。完成交通运输行业法治政府建设“一规划两纲要”总结评估，推动出台《自治区铁路安全条例》,修订2部地方性法规，制发行政规范性文件3件，发布地方标准1项，3项执法亮点在全国推广，2家基层单位、2名个人被部评为新时代“枫桥式”基层执法联系点和大队长。出台145条措施加快建设统一开放交通运输市场。大件许可审批办结时间压缩70%以上，好评率100%。厅本级下放权责事项212项，下放率达88%。深化兵地路网衔接、联合执法，协同编制“十五五”规划。</w:t>
      </w:r>
    </w:p>
    <w:p w14:paraId="02B4C622">
      <w:pPr>
        <w:keepNext w:val="0"/>
        <w:keepLines w:val="0"/>
        <w:pageBreakBefore w:val="0"/>
        <w:kinsoku/>
        <w:wordWrap/>
        <w:overflowPunct/>
        <w:topLinePunct w:val="0"/>
        <w:bidi w:val="0"/>
        <w:spacing w:line="560" w:lineRule="exact"/>
        <w:ind w:firstLine="640" w:firstLineChars="200"/>
        <w:textAlignment w:val="auto"/>
        <w:outlineLvl w:val="1"/>
        <w:rPr>
          <w:rFonts w:hint="default" w:ascii="Times New Roman" w:hAnsi="Times New Roman" w:eastAsia="方正仿宋_GBK" w:cs="Times New Roman"/>
          <w:color w:val="auto"/>
          <w:kern w:val="2"/>
          <w:sz w:val="32"/>
          <w:szCs w:val="32"/>
          <w:highlight w:val="none"/>
          <w:u w:val="none"/>
          <w:lang w:val="en-US" w:eastAsia="zh-CN" w:bidi="ar-SA"/>
        </w:rPr>
      </w:pPr>
      <w:r>
        <w:rPr>
          <w:rFonts w:hint="default" w:ascii="Times New Roman" w:hAnsi="Times New Roman" w:eastAsia="方正仿宋_GBK" w:cs="Times New Roman"/>
          <w:color w:val="auto"/>
          <w:kern w:val="2"/>
          <w:sz w:val="32"/>
          <w:szCs w:val="32"/>
          <w:highlight w:val="none"/>
          <w:u w:val="none"/>
          <w:lang w:val="en-US" w:eastAsia="zh-CN" w:bidi="ar-SA"/>
        </w:rPr>
        <w:t>(</w:t>
      </w:r>
      <w:r>
        <w:rPr>
          <w:rFonts w:hint="eastAsia" w:ascii="Times New Roman" w:hAnsi="Times New Roman" w:eastAsia="方正仿宋_GBK" w:cs="Times New Roman"/>
          <w:color w:val="auto"/>
          <w:kern w:val="2"/>
          <w:sz w:val="32"/>
          <w:szCs w:val="32"/>
          <w:highlight w:val="none"/>
          <w:u w:val="none"/>
          <w:lang w:val="en-US" w:eastAsia="zh-CN" w:bidi="ar-SA"/>
        </w:rPr>
        <w:t>7</w:t>
      </w:r>
      <w:r>
        <w:rPr>
          <w:rFonts w:hint="default" w:ascii="Times New Roman" w:hAnsi="Times New Roman" w:eastAsia="方正仿宋_GBK" w:cs="Times New Roman"/>
          <w:color w:val="auto"/>
          <w:kern w:val="2"/>
          <w:sz w:val="32"/>
          <w:szCs w:val="32"/>
          <w:highlight w:val="none"/>
          <w:u w:val="none"/>
          <w:lang w:val="en-US" w:eastAsia="zh-CN" w:bidi="ar-SA"/>
        </w:rPr>
        <w:t>)对外开放合作取得新进展。推动跨境基础设施“硬联通”、规则标准“软联通”、人文交流“心联通”</w:t>
      </w:r>
      <w:r>
        <w:rPr>
          <w:rFonts w:hint="eastAsia" w:ascii="Times New Roman" w:hAnsi="Times New Roman" w:eastAsia="方正仿宋_GBK" w:cs="Times New Roman"/>
          <w:color w:val="auto"/>
          <w:kern w:val="2"/>
          <w:sz w:val="32"/>
          <w:szCs w:val="32"/>
          <w:highlight w:val="none"/>
          <w:u w:val="none"/>
          <w:lang w:val="en-US" w:eastAsia="zh-CN" w:bidi="ar-SA"/>
        </w:rPr>
        <w:t>，</w:t>
      </w:r>
      <w:r>
        <w:rPr>
          <w:rFonts w:hint="default" w:ascii="Times New Roman" w:hAnsi="Times New Roman" w:eastAsia="方正仿宋_GBK" w:cs="Times New Roman"/>
          <w:color w:val="auto"/>
          <w:kern w:val="2"/>
          <w:sz w:val="32"/>
          <w:szCs w:val="32"/>
          <w:highlight w:val="none"/>
          <w:u w:val="none"/>
          <w:lang w:val="en-US" w:eastAsia="zh-CN" w:bidi="ar-SA"/>
        </w:rPr>
        <w:t>新增塔克什肯口岸通一级公路，成功承办环阿尔泰次区域互联互通合作专题会议，积极参与中哈、中蒙、中吉等双边运输事务会谈，筹办中吉乌土国际多式联运试运行活动，首次打通南线通道，国际道路客货运量同比分别增长28.2%、7.8%。升级口岸服务效能，15个陆路口岸实现“司机之家”全覆盖，共建上合组织“丝路驿站”样板间，“新疆经验”全国推广，开展中亚交通人才研学交流，以“小而美”项目促进人文交融。</w:t>
      </w:r>
    </w:p>
    <w:p w14:paraId="71D252FA">
      <w:pPr>
        <w:keepNext w:val="0"/>
        <w:keepLines w:val="0"/>
        <w:pageBreakBefore w:val="0"/>
        <w:kinsoku/>
        <w:wordWrap/>
        <w:overflowPunct/>
        <w:topLinePunct w:val="0"/>
        <w:bidi w:val="0"/>
        <w:spacing w:line="560" w:lineRule="exact"/>
        <w:ind w:firstLine="640" w:firstLineChars="200"/>
        <w:textAlignment w:val="auto"/>
        <w:outlineLvl w:val="1"/>
        <w:rPr>
          <w:rFonts w:hint="default" w:ascii="Times New Roman" w:hAnsi="Times New Roman" w:eastAsia="方正仿宋_GBK" w:cs="Times New Roman"/>
          <w:color w:val="auto"/>
          <w:kern w:val="2"/>
          <w:sz w:val="32"/>
          <w:szCs w:val="32"/>
          <w:highlight w:val="none"/>
          <w:u w:val="none"/>
          <w:lang w:val="en-US" w:eastAsia="zh-CN" w:bidi="ar-SA"/>
        </w:rPr>
      </w:pPr>
      <w:r>
        <w:rPr>
          <w:rFonts w:hint="default" w:ascii="Times New Roman" w:hAnsi="Times New Roman" w:eastAsia="方正仿宋_GBK" w:cs="Times New Roman"/>
          <w:color w:val="auto"/>
          <w:kern w:val="2"/>
          <w:sz w:val="32"/>
          <w:szCs w:val="32"/>
          <w:highlight w:val="none"/>
          <w:u w:val="none"/>
          <w:lang w:val="en-US" w:eastAsia="zh-CN" w:bidi="ar-SA"/>
        </w:rPr>
        <w:t>(</w:t>
      </w:r>
      <w:r>
        <w:rPr>
          <w:rFonts w:hint="eastAsia" w:ascii="Times New Roman" w:hAnsi="Times New Roman" w:eastAsia="方正仿宋_GBK" w:cs="Times New Roman"/>
          <w:color w:val="auto"/>
          <w:kern w:val="2"/>
          <w:sz w:val="32"/>
          <w:szCs w:val="32"/>
          <w:highlight w:val="none"/>
          <w:u w:val="none"/>
          <w:lang w:val="en-US" w:eastAsia="zh-CN" w:bidi="ar-SA"/>
        </w:rPr>
        <w:t>8</w:t>
      </w:r>
      <w:r>
        <w:rPr>
          <w:rFonts w:hint="default" w:ascii="Times New Roman" w:hAnsi="Times New Roman" w:eastAsia="方正仿宋_GBK" w:cs="Times New Roman"/>
          <w:color w:val="auto"/>
          <w:kern w:val="2"/>
          <w:sz w:val="32"/>
          <w:szCs w:val="32"/>
          <w:highlight w:val="none"/>
          <w:u w:val="none"/>
          <w:lang w:val="en-US" w:eastAsia="zh-CN" w:bidi="ar-SA"/>
        </w:rPr>
        <w:t>)党的建设展现新面貌。深入学习宣传贯彻党的二十届四中全会精神，开展厅党委理论学习中心组学习18次，闭环落实“第一议题”175项，办结领导批示件409件。扎实开展深入贯彻中央八项规定精神学习教育，一体推进“学查改”</w:t>
      </w:r>
      <w:r>
        <w:rPr>
          <w:rFonts w:hint="eastAsia" w:ascii="Times New Roman" w:hAnsi="Times New Roman" w:eastAsia="方正仿宋_GBK" w:cs="Times New Roman"/>
          <w:color w:val="auto"/>
          <w:kern w:val="2"/>
          <w:sz w:val="32"/>
          <w:szCs w:val="32"/>
          <w:highlight w:val="none"/>
          <w:u w:val="none"/>
          <w:lang w:val="en-US" w:eastAsia="zh-CN" w:bidi="ar-SA"/>
        </w:rPr>
        <w:t>，</w:t>
      </w:r>
      <w:r>
        <w:rPr>
          <w:rFonts w:hint="default" w:ascii="Times New Roman" w:hAnsi="Times New Roman" w:eastAsia="方正仿宋_GBK" w:cs="Times New Roman"/>
          <w:color w:val="auto"/>
          <w:kern w:val="2"/>
          <w:sz w:val="32"/>
          <w:szCs w:val="32"/>
          <w:highlight w:val="none"/>
          <w:u w:val="none"/>
          <w:lang w:val="en-US" w:eastAsia="zh-CN" w:bidi="ar-SA"/>
        </w:rPr>
        <w:t>形成制度规范146个。完成厅机关党委、纪委换届。建成行业党委111个、实现区地县全覆盖。出台激励干部担当作为和容错纠错二十条措施，选拔任用干部6批次，新招录招聘156人。完成58个巡视及“回头看”反馈问题整改，开展17个单位常规巡察。切实为基层减负、纠治“四风”。深化集中整治群众身边不正之风和腐败问题，着力办好“16+10”两件具体民生实事，办理民生实事1125件，为货车司机追回运费、薪资2261.67万元，帮助追回拖欠农民工工资89.69万元。大力开展工程质量、招投标和规范执法3个专项整治，给予161家从业单位信用扣分，处理5名评标专家。完成对7个单位领导干部经责审计。配强厅系统纪检力量，运用“第一种形态”342人，全面从严治党取得明显成效。</w:t>
      </w:r>
    </w:p>
    <w:p w14:paraId="293D1025">
      <w:pPr>
        <w:keepNext w:val="0"/>
        <w:keepLines w:val="0"/>
        <w:pageBreakBefore w:val="0"/>
        <w:kinsoku/>
        <w:wordWrap/>
        <w:overflowPunct/>
        <w:topLinePunct w:val="0"/>
        <w:bidi w:val="0"/>
        <w:spacing w:line="560" w:lineRule="exact"/>
        <w:ind w:firstLine="640" w:firstLineChars="200"/>
        <w:textAlignment w:val="auto"/>
        <w:outlineLvl w:val="1"/>
        <w:rPr>
          <w:rFonts w:hint="default" w:ascii="Times New Roman" w:hAnsi="Times New Roman" w:eastAsia="方正仿宋_GBK" w:cs="Times New Roman"/>
          <w:color w:val="auto"/>
          <w:kern w:val="2"/>
          <w:sz w:val="32"/>
          <w:szCs w:val="32"/>
          <w:highlight w:val="none"/>
          <w:u w:val="none"/>
          <w:lang w:val="en-US" w:eastAsia="zh-CN" w:bidi="ar-SA"/>
        </w:rPr>
      </w:pPr>
      <w:r>
        <w:rPr>
          <w:rFonts w:hint="default" w:ascii="Times New Roman" w:hAnsi="Times New Roman" w:eastAsia="方正仿宋_GBK" w:cs="Times New Roman"/>
          <w:color w:val="auto"/>
          <w:kern w:val="2"/>
          <w:sz w:val="32"/>
          <w:szCs w:val="32"/>
          <w:highlight w:val="none"/>
          <w:u w:val="none"/>
          <w:lang w:val="en-US" w:eastAsia="zh-CN" w:bidi="ar-SA"/>
        </w:rPr>
        <w:t>同时，文化润疆深入推进，新疆交通运输70年发展成就、乌尉高速通车等重大主题宣传反响热烈、凝聚人心。建立综合交通职工文化交流联席会机制，建设31个高原氧吧，以人文关怀温暖人心。“银发”力量赋能交通发展，马秀梅等一批老交通弘扬起行业新风正气。工会、共青团、妇女工作亮点纷呈。后勤服务保障有力。行业创先争优氛围浓厚，红其拉甫养护站等5家单位、泉水地养护站宁伟等7人、且末县交通运输局麦麦提·吾普尔等4人分别荣获全国交通运输系统先进集体、劳模和先进工作者称号，等等，凝聚起干事创业的强大合力。</w:t>
      </w:r>
    </w:p>
    <w:p w14:paraId="4DDAA329">
      <w:pPr>
        <w:keepNext w:val="0"/>
        <w:keepLines w:val="0"/>
        <w:pageBreakBefore w:val="0"/>
        <w:kinsoku/>
        <w:wordWrap/>
        <w:overflowPunct/>
        <w:topLinePunct w:val="0"/>
        <w:bidi w:val="0"/>
        <w:spacing w:line="560" w:lineRule="exact"/>
        <w:ind w:firstLine="640" w:firstLineChars="200"/>
        <w:textAlignment w:val="auto"/>
        <w:outlineLvl w:val="1"/>
        <w:rPr>
          <w:rFonts w:hint="default" w:ascii="Times New Roman" w:hAnsi="Times New Roman" w:eastAsia="方正楷体_GBK" w:cs="Times New Roman"/>
          <w:kern w:val="2"/>
          <w:sz w:val="32"/>
          <w:szCs w:val="32"/>
          <w:highlight w:val="none"/>
          <w:lang w:val="en-US" w:eastAsia="zh-CN" w:bidi="ar-SA"/>
        </w:rPr>
      </w:pPr>
      <w:r>
        <w:rPr>
          <w:rFonts w:hint="default" w:ascii="Times New Roman" w:hAnsi="Times New Roman" w:eastAsia="方正楷体_GBK" w:cs="Times New Roman"/>
          <w:kern w:val="2"/>
          <w:sz w:val="32"/>
          <w:szCs w:val="32"/>
          <w:highlight w:val="none"/>
          <w:lang w:val="en-US" w:eastAsia="zh-CN" w:bidi="ar-SA"/>
        </w:rPr>
        <w:t>（三）部门单位整体预算规模及安排情况</w:t>
      </w:r>
    </w:p>
    <w:p w14:paraId="2109DAF2">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2"/>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rPr>
        <w:t>1.整体</w:t>
      </w:r>
      <w:r>
        <w:rPr>
          <w:rFonts w:hint="eastAsia" w:ascii="Times New Roman" w:hAnsi="Times New Roman" w:eastAsia="方正仿宋_GBK" w:cs="Times New Roman"/>
          <w:sz w:val="32"/>
          <w:szCs w:val="32"/>
          <w:highlight w:val="none"/>
          <w:shd w:val="clear" w:color="auto" w:fill="FFFFFF"/>
          <w:lang w:eastAsia="zh-CN"/>
        </w:rPr>
        <w:t>预算</w:t>
      </w:r>
      <w:r>
        <w:rPr>
          <w:rFonts w:hint="default" w:ascii="Times New Roman" w:hAnsi="Times New Roman" w:eastAsia="方正仿宋_GBK" w:cs="Times New Roman"/>
          <w:sz w:val="32"/>
          <w:szCs w:val="32"/>
          <w:highlight w:val="none"/>
          <w:shd w:val="clear" w:color="auto" w:fill="FFFFFF"/>
        </w:rPr>
        <w:t>规模</w:t>
      </w:r>
    </w:p>
    <w:p w14:paraId="7FCB98A8">
      <w:pPr>
        <w:keepNext w:val="0"/>
        <w:keepLines w:val="0"/>
        <w:pageBreakBefore w:val="0"/>
        <w:kinsoku/>
        <w:wordWrap/>
        <w:overflowPunct/>
        <w:topLinePunct w:val="0"/>
        <w:bidi w:val="0"/>
        <w:spacing w:line="560" w:lineRule="exact"/>
        <w:ind w:firstLine="617" w:firstLineChars="198"/>
        <w:textAlignment w:val="auto"/>
        <w:rPr>
          <w:rFonts w:hint="default" w:ascii="Times New Roman" w:hAnsi="Times New Roman" w:eastAsia="方正仿宋_GBK" w:cs="Times New Roman"/>
          <w:spacing w:val="-4"/>
          <w:sz w:val="32"/>
          <w:szCs w:val="32"/>
          <w:highlight w:val="none"/>
        </w:rPr>
      </w:pPr>
      <w:r>
        <w:rPr>
          <w:rFonts w:hint="default" w:ascii="Times New Roman" w:hAnsi="Times New Roman" w:eastAsia="方正仿宋_GBK" w:cs="Times New Roman"/>
          <w:spacing w:val="-4"/>
          <w:sz w:val="32"/>
          <w:szCs w:val="32"/>
          <w:highlight w:val="none"/>
        </w:rPr>
        <w:t>（1）年初预算</w:t>
      </w:r>
      <w:r>
        <w:rPr>
          <w:rFonts w:hint="eastAsia" w:ascii="Times New Roman" w:hAnsi="Times New Roman" w:eastAsia="方正仿宋_GBK" w:cs="Times New Roman"/>
          <w:spacing w:val="-4"/>
          <w:sz w:val="32"/>
          <w:szCs w:val="32"/>
          <w:highlight w:val="none"/>
          <w:lang w:eastAsia="zh-CN"/>
        </w:rPr>
        <w:t>到位</w:t>
      </w:r>
      <w:r>
        <w:rPr>
          <w:rFonts w:hint="default" w:ascii="Times New Roman" w:hAnsi="Times New Roman" w:eastAsia="方正仿宋_GBK" w:cs="Times New Roman"/>
          <w:spacing w:val="-4"/>
          <w:sz w:val="32"/>
          <w:szCs w:val="32"/>
          <w:highlight w:val="none"/>
        </w:rPr>
        <w:t>率</w:t>
      </w:r>
    </w:p>
    <w:p w14:paraId="61C5A52E">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方正仿宋_GBK" w:cs="Times New Roman"/>
          <w:spacing w:val="-4"/>
          <w:sz w:val="32"/>
          <w:szCs w:val="32"/>
          <w:highlight w:val="none"/>
          <w:lang w:eastAsia="zh-CN"/>
        </w:rPr>
      </w:pPr>
      <w:r>
        <w:rPr>
          <w:rFonts w:hint="default" w:ascii="Times New Roman" w:hAnsi="Times New Roman" w:eastAsia="方正仿宋_GBK" w:cs="Times New Roman"/>
          <w:spacing w:val="-4"/>
          <w:sz w:val="32"/>
          <w:szCs w:val="32"/>
          <w:highlight w:val="none"/>
        </w:rPr>
        <w:t>202</w:t>
      </w:r>
      <w:r>
        <w:rPr>
          <w:rFonts w:hint="eastAsia" w:ascii="Times New Roman" w:hAnsi="Times New Roman" w:eastAsia="方正仿宋_GBK" w:cs="Times New Roman"/>
          <w:spacing w:val="-4"/>
          <w:sz w:val="32"/>
          <w:szCs w:val="32"/>
          <w:highlight w:val="none"/>
          <w:lang w:val="en-US" w:eastAsia="zh-CN"/>
        </w:rPr>
        <w:t>5</w:t>
      </w:r>
      <w:r>
        <w:rPr>
          <w:rFonts w:hint="default" w:ascii="Times New Roman" w:hAnsi="Times New Roman" w:eastAsia="方正仿宋_GBK" w:cs="Times New Roman"/>
          <w:spacing w:val="-4"/>
          <w:sz w:val="32"/>
          <w:szCs w:val="32"/>
          <w:highlight w:val="none"/>
        </w:rPr>
        <w:t>年初批复我部门预算资金2</w:t>
      </w:r>
      <w:r>
        <w:rPr>
          <w:rFonts w:hint="eastAsia" w:ascii="Times New Roman" w:hAnsi="Times New Roman" w:eastAsia="方正仿宋_GBK" w:cs="Times New Roman"/>
          <w:spacing w:val="-4"/>
          <w:sz w:val="32"/>
          <w:szCs w:val="32"/>
          <w:highlight w:val="none"/>
          <w:lang w:val="en-US" w:eastAsia="zh-CN"/>
        </w:rPr>
        <w:t>,</w:t>
      </w:r>
      <w:r>
        <w:rPr>
          <w:rFonts w:hint="default" w:ascii="Times New Roman" w:hAnsi="Times New Roman" w:eastAsia="方正仿宋_GBK" w:cs="Times New Roman"/>
          <w:spacing w:val="-4"/>
          <w:sz w:val="32"/>
          <w:szCs w:val="32"/>
          <w:highlight w:val="none"/>
        </w:rPr>
        <w:t>240</w:t>
      </w:r>
      <w:r>
        <w:rPr>
          <w:rFonts w:hint="eastAsia" w:ascii="Times New Roman" w:hAnsi="Times New Roman" w:eastAsia="方正仿宋_GBK" w:cs="Times New Roman"/>
          <w:spacing w:val="-4"/>
          <w:sz w:val="32"/>
          <w:szCs w:val="32"/>
          <w:highlight w:val="none"/>
          <w:lang w:val="en-US" w:eastAsia="zh-CN"/>
        </w:rPr>
        <w:t>,</w:t>
      </w:r>
      <w:r>
        <w:rPr>
          <w:rFonts w:hint="default" w:ascii="Times New Roman" w:hAnsi="Times New Roman" w:eastAsia="方正仿宋_GBK" w:cs="Times New Roman"/>
          <w:spacing w:val="-4"/>
          <w:sz w:val="32"/>
          <w:szCs w:val="32"/>
          <w:highlight w:val="none"/>
        </w:rPr>
        <w:t>021.91万元，主要为中央安排资金</w:t>
      </w:r>
      <w:r>
        <w:rPr>
          <w:rFonts w:hint="default" w:ascii="Times New Roman" w:hAnsi="Times New Roman" w:eastAsia="方正仿宋_GBK" w:cs="Times New Roman"/>
          <w:spacing w:val="-4"/>
          <w:kern w:val="2"/>
          <w:sz w:val="32"/>
          <w:szCs w:val="32"/>
          <w:highlight w:val="none"/>
          <w:lang w:val="en-US" w:eastAsia="zh-CN" w:bidi="ar-SA"/>
        </w:rPr>
        <w:t>1</w:t>
      </w:r>
      <w:r>
        <w:rPr>
          <w:rFonts w:hint="eastAsia" w:ascii="Times New Roman" w:hAnsi="Times New Roman" w:eastAsia="方正仿宋_GBK" w:cs="Times New Roman"/>
          <w:spacing w:val="-4"/>
          <w:kern w:val="2"/>
          <w:sz w:val="32"/>
          <w:szCs w:val="32"/>
          <w:highlight w:val="none"/>
          <w:lang w:val="en-US" w:eastAsia="zh-CN" w:bidi="ar-SA"/>
        </w:rPr>
        <w:t>,</w:t>
      </w:r>
      <w:r>
        <w:rPr>
          <w:rFonts w:hint="default" w:ascii="Times New Roman" w:hAnsi="Times New Roman" w:eastAsia="方正仿宋_GBK" w:cs="Times New Roman"/>
          <w:spacing w:val="-4"/>
          <w:kern w:val="2"/>
          <w:sz w:val="32"/>
          <w:szCs w:val="32"/>
          <w:highlight w:val="none"/>
          <w:lang w:val="en-US" w:eastAsia="zh-CN" w:bidi="ar-SA"/>
        </w:rPr>
        <w:t>746</w:t>
      </w:r>
      <w:r>
        <w:rPr>
          <w:rFonts w:hint="eastAsia" w:ascii="Times New Roman" w:hAnsi="Times New Roman" w:eastAsia="方正仿宋_GBK" w:cs="Times New Roman"/>
          <w:spacing w:val="-4"/>
          <w:kern w:val="2"/>
          <w:sz w:val="32"/>
          <w:szCs w:val="32"/>
          <w:highlight w:val="none"/>
          <w:lang w:val="en-US" w:eastAsia="zh-CN" w:bidi="ar-SA"/>
        </w:rPr>
        <w:t>,</w:t>
      </w:r>
      <w:r>
        <w:rPr>
          <w:rFonts w:hint="default" w:ascii="Times New Roman" w:hAnsi="Times New Roman" w:eastAsia="方正仿宋_GBK" w:cs="Times New Roman"/>
          <w:spacing w:val="-4"/>
          <w:kern w:val="2"/>
          <w:sz w:val="32"/>
          <w:szCs w:val="32"/>
          <w:highlight w:val="none"/>
          <w:lang w:val="en-US" w:eastAsia="zh-CN" w:bidi="ar-SA"/>
        </w:rPr>
        <w:t>701</w:t>
      </w:r>
      <w:r>
        <w:rPr>
          <w:rFonts w:hint="eastAsia" w:ascii="Times New Roman" w:hAnsi="Times New Roman" w:eastAsia="方正仿宋_GBK" w:cs="Times New Roman"/>
          <w:spacing w:val="-4"/>
          <w:kern w:val="2"/>
          <w:sz w:val="32"/>
          <w:szCs w:val="32"/>
          <w:highlight w:val="none"/>
          <w:lang w:val="en-US" w:eastAsia="zh-CN" w:bidi="ar-SA"/>
        </w:rPr>
        <w:t>.00</w:t>
      </w:r>
      <w:r>
        <w:rPr>
          <w:rFonts w:hint="default" w:ascii="Times New Roman" w:hAnsi="Times New Roman" w:eastAsia="方正仿宋_GBK" w:cs="Times New Roman"/>
          <w:spacing w:val="-4"/>
          <w:sz w:val="32"/>
          <w:szCs w:val="32"/>
          <w:highlight w:val="none"/>
        </w:rPr>
        <w:t>万元，自治区安排资金 474</w:t>
      </w:r>
      <w:r>
        <w:rPr>
          <w:rFonts w:hint="eastAsia" w:ascii="Times New Roman" w:hAnsi="Times New Roman" w:eastAsia="方正仿宋_GBK" w:cs="Times New Roman"/>
          <w:spacing w:val="-4"/>
          <w:sz w:val="32"/>
          <w:szCs w:val="32"/>
          <w:highlight w:val="none"/>
          <w:lang w:val="en-US" w:eastAsia="zh-CN"/>
        </w:rPr>
        <w:t>,</w:t>
      </w:r>
      <w:r>
        <w:rPr>
          <w:rFonts w:hint="default" w:ascii="Times New Roman" w:hAnsi="Times New Roman" w:eastAsia="方正仿宋_GBK" w:cs="Times New Roman"/>
          <w:spacing w:val="-4"/>
          <w:sz w:val="32"/>
          <w:szCs w:val="32"/>
          <w:highlight w:val="none"/>
        </w:rPr>
        <w:t>981.52 万元，其他资金18</w:t>
      </w:r>
      <w:r>
        <w:rPr>
          <w:rFonts w:hint="eastAsia" w:ascii="Times New Roman" w:hAnsi="Times New Roman" w:eastAsia="方正仿宋_GBK" w:cs="Times New Roman"/>
          <w:spacing w:val="-4"/>
          <w:sz w:val="32"/>
          <w:szCs w:val="32"/>
          <w:highlight w:val="none"/>
          <w:lang w:val="en-US" w:eastAsia="zh-CN"/>
        </w:rPr>
        <w:t>,</w:t>
      </w:r>
      <w:r>
        <w:rPr>
          <w:rFonts w:hint="default" w:ascii="Times New Roman" w:hAnsi="Times New Roman" w:eastAsia="方正仿宋_GBK" w:cs="Times New Roman"/>
          <w:spacing w:val="-4"/>
          <w:sz w:val="32"/>
          <w:szCs w:val="32"/>
          <w:highlight w:val="none"/>
        </w:rPr>
        <w:t>339.39万元</w:t>
      </w:r>
      <w:r>
        <w:rPr>
          <w:rFonts w:hint="eastAsia" w:ascii="Times New Roman" w:hAnsi="Times New Roman" w:eastAsia="方正仿宋_GBK" w:cs="Times New Roman"/>
          <w:spacing w:val="-4"/>
          <w:sz w:val="32"/>
          <w:szCs w:val="32"/>
          <w:highlight w:val="none"/>
          <w:lang w:eastAsia="zh-CN"/>
        </w:rPr>
        <w:t>；</w:t>
      </w:r>
      <w:r>
        <w:rPr>
          <w:rFonts w:hint="default" w:ascii="Times New Roman" w:hAnsi="Times New Roman" w:eastAsia="方正仿宋_GBK" w:cs="Times New Roman"/>
          <w:spacing w:val="-4"/>
          <w:sz w:val="32"/>
          <w:szCs w:val="32"/>
          <w:highlight w:val="none"/>
        </w:rPr>
        <w:t>202</w:t>
      </w:r>
      <w:r>
        <w:rPr>
          <w:rFonts w:hint="eastAsia" w:ascii="Times New Roman" w:hAnsi="Times New Roman" w:eastAsia="方正仿宋_GBK" w:cs="Times New Roman"/>
          <w:spacing w:val="-4"/>
          <w:sz w:val="32"/>
          <w:szCs w:val="32"/>
          <w:highlight w:val="none"/>
          <w:lang w:val="en-US" w:eastAsia="zh-CN"/>
        </w:rPr>
        <w:t>5</w:t>
      </w:r>
      <w:r>
        <w:rPr>
          <w:rFonts w:hint="default" w:ascii="Times New Roman" w:hAnsi="Times New Roman" w:eastAsia="方正仿宋_GBK" w:cs="Times New Roman"/>
          <w:spacing w:val="-4"/>
          <w:sz w:val="32"/>
          <w:szCs w:val="32"/>
          <w:highlight w:val="none"/>
        </w:rPr>
        <w:t>年度年初预算资金到位2,240,021.91万元，资金到位率为100%</w:t>
      </w:r>
      <w:r>
        <w:rPr>
          <w:rFonts w:hint="eastAsia" w:ascii="Times New Roman" w:hAnsi="Times New Roman" w:eastAsia="方正仿宋_GBK" w:cs="Times New Roman"/>
          <w:spacing w:val="-4"/>
          <w:sz w:val="32"/>
          <w:szCs w:val="32"/>
          <w:highlight w:val="none"/>
          <w:lang w:eastAsia="zh-CN"/>
        </w:rPr>
        <w:t>。</w:t>
      </w:r>
    </w:p>
    <w:p w14:paraId="11DB216B">
      <w:pPr>
        <w:keepNext w:val="0"/>
        <w:keepLines w:val="0"/>
        <w:pageBreakBefore w:val="0"/>
        <w:kinsoku/>
        <w:wordWrap/>
        <w:overflowPunct/>
        <w:topLinePunct w:val="0"/>
        <w:bidi w:val="0"/>
        <w:spacing w:line="560" w:lineRule="exact"/>
        <w:ind w:firstLine="617" w:firstLineChars="198"/>
        <w:textAlignment w:val="auto"/>
        <w:rPr>
          <w:rFonts w:hint="default" w:ascii="Times New Roman" w:hAnsi="Times New Roman" w:eastAsia="方正仿宋_GBK" w:cs="Times New Roman"/>
          <w:spacing w:val="-4"/>
          <w:sz w:val="32"/>
          <w:szCs w:val="32"/>
          <w:highlight w:val="none"/>
        </w:rPr>
      </w:pPr>
      <w:r>
        <w:rPr>
          <w:rFonts w:hint="default" w:ascii="Times New Roman" w:hAnsi="Times New Roman" w:eastAsia="方正仿宋_GBK" w:cs="Times New Roman"/>
          <w:spacing w:val="-4"/>
          <w:sz w:val="32"/>
          <w:szCs w:val="32"/>
          <w:highlight w:val="none"/>
        </w:rPr>
        <w:t>（2）全年预算</w:t>
      </w:r>
      <w:r>
        <w:rPr>
          <w:rFonts w:hint="eastAsia" w:ascii="Times New Roman" w:hAnsi="Times New Roman" w:eastAsia="方正仿宋_GBK" w:cs="Times New Roman"/>
          <w:spacing w:val="-4"/>
          <w:sz w:val="32"/>
          <w:szCs w:val="32"/>
          <w:highlight w:val="none"/>
          <w:lang w:eastAsia="zh-CN"/>
        </w:rPr>
        <w:t>到位</w:t>
      </w:r>
      <w:r>
        <w:rPr>
          <w:rFonts w:hint="default" w:ascii="Times New Roman" w:hAnsi="Times New Roman" w:eastAsia="方正仿宋_GBK" w:cs="Times New Roman"/>
          <w:spacing w:val="-4"/>
          <w:sz w:val="32"/>
          <w:szCs w:val="32"/>
          <w:highlight w:val="none"/>
        </w:rPr>
        <w:t>率</w:t>
      </w:r>
    </w:p>
    <w:p w14:paraId="0759475D">
      <w:pPr>
        <w:pStyle w:val="2"/>
        <w:keepNext w:val="0"/>
        <w:keepLines w:val="0"/>
        <w:pageBreakBefore w:val="0"/>
        <w:kinsoku/>
        <w:wordWrap/>
        <w:overflowPunct/>
        <w:topLinePunct w:val="0"/>
        <w:bidi w:val="0"/>
        <w:spacing w:after="0" w:line="560" w:lineRule="exact"/>
        <w:ind w:left="0" w:leftChars="0" w:firstLine="624" w:firstLineChars="200"/>
        <w:textAlignment w:val="auto"/>
        <w:rPr>
          <w:rFonts w:hint="default" w:ascii="Times New Roman" w:hAnsi="Times New Roman" w:eastAsia="方正仿宋_GBK" w:cs="Times New Roman"/>
          <w:color w:val="auto"/>
          <w:spacing w:val="-4"/>
          <w:szCs w:val="32"/>
          <w:highlight w:val="none"/>
        </w:rPr>
      </w:pPr>
      <w:r>
        <w:rPr>
          <w:rFonts w:hint="default" w:ascii="Times New Roman" w:hAnsi="Times New Roman" w:eastAsia="方正仿宋_GBK" w:cs="Times New Roman"/>
          <w:color w:val="auto"/>
          <w:spacing w:val="-4"/>
          <w:szCs w:val="32"/>
          <w:highlight w:val="none"/>
        </w:rPr>
        <w:t>202</w:t>
      </w:r>
      <w:r>
        <w:rPr>
          <w:rFonts w:hint="eastAsia" w:ascii="Times New Roman" w:hAnsi="Times New Roman" w:eastAsia="方正仿宋_GBK" w:cs="Times New Roman"/>
          <w:color w:val="auto"/>
          <w:spacing w:val="-4"/>
          <w:szCs w:val="32"/>
          <w:highlight w:val="none"/>
          <w:lang w:val="en-US" w:eastAsia="zh-CN"/>
        </w:rPr>
        <w:t>5</w:t>
      </w:r>
      <w:r>
        <w:rPr>
          <w:rFonts w:hint="default" w:ascii="Times New Roman" w:hAnsi="Times New Roman" w:eastAsia="方正仿宋_GBK" w:cs="Times New Roman"/>
          <w:color w:val="auto"/>
          <w:spacing w:val="-4"/>
          <w:szCs w:val="32"/>
          <w:highlight w:val="none"/>
        </w:rPr>
        <w:t>年部门全年预算数为2,952,763.80万元，其中:中央安排资金2,435,267.92万元,自治区安排资金496,646.01万元，其他资金20,849.87万元。</w:t>
      </w:r>
    </w:p>
    <w:p w14:paraId="1C6AC31A">
      <w:pPr>
        <w:keepNext w:val="0"/>
        <w:keepLines w:val="0"/>
        <w:pageBreakBefore w:val="0"/>
        <w:kinsoku/>
        <w:wordWrap/>
        <w:overflowPunct/>
        <w:topLinePunct w:val="0"/>
        <w:bidi w:val="0"/>
        <w:spacing w:line="560" w:lineRule="exact"/>
        <w:ind w:firstLine="617" w:firstLineChars="198"/>
        <w:textAlignment w:val="auto"/>
        <w:rPr>
          <w:rFonts w:hint="default" w:ascii="Times New Roman" w:hAnsi="Times New Roman" w:eastAsia="方正仿宋_GBK" w:cs="Times New Roman"/>
          <w:spacing w:val="-4"/>
          <w:sz w:val="32"/>
          <w:szCs w:val="32"/>
          <w:highlight w:val="none"/>
        </w:rPr>
      </w:pPr>
      <w:r>
        <w:rPr>
          <w:rFonts w:hint="default" w:ascii="Times New Roman" w:hAnsi="Times New Roman" w:eastAsia="方正仿宋_GBK" w:cs="Times New Roman"/>
          <w:spacing w:val="-4"/>
          <w:sz w:val="32"/>
          <w:szCs w:val="32"/>
          <w:highlight w:val="none"/>
        </w:rPr>
        <w:t>（3）预算调整情况</w:t>
      </w:r>
    </w:p>
    <w:p w14:paraId="2E028A59">
      <w:pPr>
        <w:keepNext w:val="0"/>
        <w:keepLines w:val="0"/>
        <w:pageBreakBefore w:val="0"/>
        <w:kinsoku/>
        <w:wordWrap/>
        <w:overflowPunct/>
        <w:topLinePunct w:val="0"/>
        <w:bidi w:val="0"/>
        <w:spacing w:line="560" w:lineRule="exact"/>
        <w:ind w:firstLine="617" w:firstLineChars="198"/>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pacing w:val="-4"/>
          <w:sz w:val="32"/>
          <w:szCs w:val="32"/>
          <w:highlight w:val="none"/>
        </w:rPr>
        <w:t>部门年初批复预算数2</w:t>
      </w:r>
      <w:r>
        <w:rPr>
          <w:rFonts w:hint="eastAsia" w:ascii="Times New Roman" w:hAnsi="Times New Roman" w:eastAsia="方正仿宋_GBK" w:cs="Times New Roman"/>
          <w:spacing w:val="-4"/>
          <w:sz w:val="32"/>
          <w:szCs w:val="32"/>
          <w:highlight w:val="none"/>
          <w:lang w:val="en-US" w:eastAsia="zh-CN"/>
        </w:rPr>
        <w:t>,</w:t>
      </w:r>
      <w:r>
        <w:rPr>
          <w:rFonts w:hint="default" w:ascii="Times New Roman" w:hAnsi="Times New Roman" w:eastAsia="方正仿宋_GBK" w:cs="Times New Roman"/>
          <w:spacing w:val="-4"/>
          <w:sz w:val="32"/>
          <w:szCs w:val="32"/>
          <w:highlight w:val="none"/>
        </w:rPr>
        <w:t>240</w:t>
      </w:r>
      <w:r>
        <w:rPr>
          <w:rFonts w:hint="eastAsia" w:ascii="Times New Roman" w:hAnsi="Times New Roman" w:eastAsia="方正仿宋_GBK" w:cs="Times New Roman"/>
          <w:spacing w:val="-4"/>
          <w:sz w:val="32"/>
          <w:szCs w:val="32"/>
          <w:highlight w:val="none"/>
          <w:lang w:val="en-US" w:eastAsia="zh-CN"/>
        </w:rPr>
        <w:t>,</w:t>
      </w:r>
      <w:r>
        <w:rPr>
          <w:rFonts w:hint="default" w:ascii="Times New Roman" w:hAnsi="Times New Roman" w:eastAsia="方正仿宋_GBK" w:cs="Times New Roman"/>
          <w:spacing w:val="-4"/>
          <w:sz w:val="32"/>
          <w:szCs w:val="32"/>
          <w:highlight w:val="none"/>
        </w:rPr>
        <w:t>021.91万元，年中调整预算数 712,741.89 万元，调整后全年预算数2,952,763.80万元，预算调整率</w:t>
      </w:r>
      <w:r>
        <w:rPr>
          <w:rFonts w:hint="default" w:ascii="Times New Roman" w:hAnsi="Times New Roman" w:eastAsia="方正仿宋_GBK" w:cs="Times New Roman"/>
          <w:spacing w:val="-4"/>
          <w:sz w:val="32"/>
          <w:szCs w:val="32"/>
          <w:highlight w:val="none"/>
          <w:lang w:val="en-US" w:eastAsia="zh-CN"/>
        </w:rPr>
        <w:t>31.82%</w:t>
      </w:r>
      <w:r>
        <w:rPr>
          <w:rFonts w:hint="default" w:ascii="Times New Roman" w:hAnsi="Times New Roman" w:eastAsia="方正仿宋_GBK" w:cs="Times New Roman"/>
          <w:spacing w:val="-4"/>
          <w:sz w:val="32"/>
          <w:szCs w:val="32"/>
          <w:highlight w:val="none"/>
        </w:rPr>
        <w:t>。调整预算的主要原因为：自治区安排的财政资金追加职业年金、丧葬抚恤金、基础性绩效奖等人员经费，中央安排的财政资金追加202</w:t>
      </w:r>
      <w:r>
        <w:rPr>
          <w:rFonts w:hint="eastAsia" w:ascii="Times New Roman" w:hAnsi="Times New Roman" w:eastAsia="方正仿宋_GBK" w:cs="Times New Roman"/>
          <w:spacing w:val="-4"/>
          <w:sz w:val="32"/>
          <w:szCs w:val="32"/>
          <w:highlight w:val="none"/>
          <w:lang w:val="en-US" w:eastAsia="zh-CN"/>
        </w:rPr>
        <w:t>5</w:t>
      </w:r>
      <w:r>
        <w:rPr>
          <w:rFonts w:hint="default" w:ascii="Times New Roman" w:hAnsi="Times New Roman" w:eastAsia="方正仿宋_GBK" w:cs="Times New Roman"/>
          <w:spacing w:val="-4"/>
          <w:sz w:val="32"/>
          <w:szCs w:val="32"/>
          <w:highlight w:val="none"/>
        </w:rPr>
        <w:t>年交通运输领域重点项目资金</w:t>
      </w:r>
      <w:r>
        <w:rPr>
          <w:rFonts w:hint="eastAsia" w:ascii="Times New Roman" w:hAnsi="Times New Roman" w:eastAsia="方正仿宋_GBK" w:cs="Times New Roman"/>
          <w:spacing w:val="-4"/>
          <w:sz w:val="32"/>
          <w:szCs w:val="32"/>
          <w:highlight w:val="none"/>
          <w:lang w:eastAsia="zh-CN"/>
        </w:rPr>
        <w:t>、交通运输领域专项资金</w:t>
      </w:r>
      <w:r>
        <w:rPr>
          <w:rFonts w:hint="default" w:ascii="Times New Roman" w:hAnsi="Times New Roman" w:eastAsia="方正仿宋_GBK" w:cs="Times New Roman"/>
          <w:spacing w:val="-4"/>
          <w:sz w:val="32"/>
          <w:szCs w:val="32"/>
          <w:highlight w:val="none"/>
        </w:rPr>
        <w:t>用于路面修复养护工程、公路安全品质提升项目、三项工程项目</w:t>
      </w:r>
      <w:r>
        <w:rPr>
          <w:rFonts w:hint="eastAsia" w:ascii="Times New Roman" w:hAnsi="Times New Roman" w:eastAsia="方正仿宋_GBK" w:cs="Times New Roman"/>
          <w:spacing w:val="-4"/>
          <w:sz w:val="32"/>
          <w:szCs w:val="32"/>
          <w:highlight w:val="none"/>
          <w:lang w:val="en-US" w:eastAsia="zh-CN"/>
        </w:rPr>
        <w:t>以及交通基础设施数字化转型项目</w:t>
      </w:r>
      <w:r>
        <w:rPr>
          <w:rFonts w:hint="default" w:ascii="Times New Roman" w:hAnsi="Times New Roman" w:eastAsia="方正仿宋_GBK" w:cs="Times New Roman"/>
          <w:spacing w:val="-4"/>
          <w:sz w:val="32"/>
          <w:szCs w:val="32"/>
          <w:highlight w:val="none"/>
        </w:rPr>
        <w:t>，追加202</w:t>
      </w:r>
      <w:r>
        <w:rPr>
          <w:rFonts w:hint="eastAsia" w:ascii="Times New Roman" w:hAnsi="Times New Roman" w:eastAsia="方正仿宋_GBK" w:cs="Times New Roman"/>
          <w:spacing w:val="-4"/>
          <w:sz w:val="32"/>
          <w:szCs w:val="32"/>
          <w:highlight w:val="none"/>
          <w:lang w:val="en-US" w:eastAsia="zh-CN"/>
        </w:rPr>
        <w:t>5</w:t>
      </w:r>
      <w:r>
        <w:rPr>
          <w:rFonts w:hint="default" w:ascii="Times New Roman" w:hAnsi="Times New Roman" w:eastAsia="方正仿宋_GBK" w:cs="Times New Roman"/>
          <w:spacing w:val="-4"/>
          <w:sz w:val="32"/>
          <w:szCs w:val="32"/>
          <w:highlight w:val="none"/>
        </w:rPr>
        <w:t>年界河维护及国际道路运输管理保障经费项目</w:t>
      </w:r>
      <w:r>
        <w:rPr>
          <w:rFonts w:hint="eastAsia" w:ascii="Times New Roman" w:hAnsi="Times New Roman" w:eastAsia="方正仿宋_GBK" w:cs="Times New Roman"/>
          <w:spacing w:val="-4"/>
          <w:sz w:val="32"/>
          <w:szCs w:val="32"/>
          <w:highlight w:val="none"/>
          <w:lang w:eastAsia="zh-CN"/>
        </w:rPr>
        <w:t>，</w:t>
      </w:r>
      <w:r>
        <w:rPr>
          <w:rFonts w:hint="eastAsia" w:ascii="Times New Roman" w:hAnsi="Times New Roman" w:eastAsia="方正仿宋_GBK" w:cs="Times New Roman"/>
          <w:spacing w:val="-4"/>
          <w:sz w:val="32"/>
          <w:szCs w:val="32"/>
          <w:highlight w:val="none"/>
          <w:lang w:val="en-US" w:eastAsia="zh-CN"/>
        </w:rPr>
        <w:t>以及追加2025年中央基建投资等项目</w:t>
      </w:r>
      <w:r>
        <w:rPr>
          <w:rFonts w:hint="default" w:ascii="Times New Roman" w:hAnsi="Times New Roman" w:eastAsia="方正仿宋_GBK" w:cs="Times New Roman"/>
          <w:spacing w:val="-4"/>
          <w:sz w:val="32"/>
          <w:szCs w:val="32"/>
          <w:highlight w:val="none"/>
        </w:rPr>
        <w:t>资金。</w:t>
      </w:r>
    </w:p>
    <w:p w14:paraId="12AE7E29">
      <w:pPr>
        <w:keepNext w:val="0"/>
        <w:keepLines w:val="0"/>
        <w:pageBreakBefore w:val="0"/>
        <w:kinsoku/>
        <w:wordWrap/>
        <w:overflowPunct/>
        <w:topLinePunct w:val="0"/>
        <w:bidi w:val="0"/>
        <w:spacing w:line="560" w:lineRule="exact"/>
        <w:ind w:firstLine="640" w:firstLineChars="200"/>
        <w:textAlignment w:val="auto"/>
        <w:outlineLvl w:val="1"/>
        <w:rPr>
          <w:rFonts w:hint="default" w:ascii="Times New Roman" w:hAnsi="Times New Roman" w:eastAsia="方正楷体_GBK" w:cs="Times New Roman"/>
          <w:kern w:val="2"/>
          <w:sz w:val="32"/>
          <w:szCs w:val="32"/>
          <w:highlight w:val="none"/>
          <w:lang w:val="en-US" w:eastAsia="zh-CN" w:bidi="ar-SA"/>
        </w:rPr>
      </w:pPr>
      <w:r>
        <w:rPr>
          <w:rFonts w:hint="default" w:ascii="Times New Roman" w:hAnsi="Times New Roman" w:eastAsia="方正楷体_GBK" w:cs="Times New Roman"/>
          <w:kern w:val="2"/>
          <w:sz w:val="32"/>
          <w:szCs w:val="32"/>
          <w:highlight w:val="none"/>
          <w:lang w:val="en-US" w:eastAsia="zh-CN" w:bidi="ar-SA"/>
        </w:rPr>
        <w:t>2.部门决策过程</w:t>
      </w:r>
    </w:p>
    <w:p w14:paraId="6CE6B2E5">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5"/>
        <w:jc w:val="both"/>
        <w:textAlignment w:val="auto"/>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rPr>
        <w:t>为加强交通运输部门收支计划编制工作，提高项目资料质量，增强项目安排的科学性、合理性、时效性，规范计划编制流程，制定以下部门支出编制要求及流程：</w:t>
      </w:r>
    </w:p>
    <w:p w14:paraId="4D7A6973">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5"/>
        <w:jc w:val="both"/>
        <w:textAlignment w:val="auto"/>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lang w:val="en-US" w:eastAsia="zh-CN"/>
        </w:rPr>
        <w:t>1</w:t>
      </w: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rPr>
        <w:t>交通运输厅印发关于编制年度交通运输部门支出</w:t>
      </w:r>
      <w:r>
        <w:rPr>
          <w:rFonts w:hint="default" w:ascii="Times New Roman" w:hAnsi="Times New Roman" w:eastAsia="方正仿宋_GBK" w:cs="Times New Roman"/>
          <w:sz w:val="32"/>
          <w:szCs w:val="32"/>
          <w:highlight w:val="none"/>
          <w:shd w:val="clear" w:color="auto" w:fill="FFFFFF"/>
          <w:lang w:eastAsia="zh-CN"/>
        </w:rPr>
        <w:t>计划的通知</w:t>
      </w:r>
      <w:r>
        <w:rPr>
          <w:rFonts w:hint="default" w:ascii="Times New Roman" w:hAnsi="Times New Roman" w:eastAsia="方正仿宋_GBK" w:cs="Times New Roman"/>
          <w:sz w:val="32"/>
          <w:szCs w:val="32"/>
          <w:highlight w:val="none"/>
          <w:shd w:val="clear" w:color="auto" w:fill="FFFFFF"/>
        </w:rPr>
        <w:t>。</w:t>
      </w:r>
    </w:p>
    <w:p w14:paraId="0C83BC22">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5"/>
        <w:jc w:val="both"/>
        <w:textAlignment w:val="auto"/>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lang w:val="en-US" w:eastAsia="zh-CN"/>
        </w:rPr>
        <w:t>2</w:t>
      </w: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rPr>
        <w:t>各单位根据本单位年度重点工作目标及任务编制下年度交通运输部门支出。</w:t>
      </w:r>
    </w:p>
    <w:p w14:paraId="66A611E0">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lang w:val="en-US" w:eastAsia="zh-CN"/>
        </w:rPr>
        <w:t>3</w:t>
      </w: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rPr>
        <w:t>交通运输厅综合规划处、财务处通过召开衔接会、相关处室协助等方式进行初审。</w:t>
      </w:r>
    </w:p>
    <w:p w14:paraId="1D391B48">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5"/>
        <w:jc w:val="both"/>
        <w:textAlignment w:val="auto"/>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lang w:val="en-US" w:eastAsia="zh-CN"/>
        </w:rPr>
        <w:t>4</w:t>
      </w: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rPr>
        <w:t>由分管副厅长召集专题会议审核交通运输部门支出计划。</w:t>
      </w:r>
    </w:p>
    <w:p w14:paraId="0772A477">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lang w:val="en-US" w:eastAsia="zh-CN"/>
        </w:rPr>
        <w:t>5</w:t>
      </w: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rPr>
        <w:t>按照统筹结合、综合平衡、量入为出原则，厅综合规划处审核汇总完成交通运输部门支出计划并报厅党委会审核。</w:t>
      </w:r>
    </w:p>
    <w:p w14:paraId="26089973">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lang w:val="en-US" w:eastAsia="zh-CN"/>
        </w:rPr>
        <w:t>6</w:t>
      </w: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rPr>
        <w:t>厅综合规划处按照党委会通过的交通运输部门支出计划反馈各单位修改项目申报书等资料。</w:t>
      </w:r>
    </w:p>
    <w:p w14:paraId="7D660678">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5"/>
        <w:jc w:val="both"/>
        <w:textAlignment w:val="auto"/>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lang w:val="en-US" w:eastAsia="zh-CN"/>
        </w:rPr>
        <w:t>7</w:t>
      </w: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rPr>
        <w:t>各单位将修改后的资料按时限报厅。厅综合规划处修改完善年度交通运输部门支出计划并报送厅党委会审定后，由厅财务处拟文报送自治区财政厅。</w:t>
      </w:r>
    </w:p>
    <w:p w14:paraId="156C24C2">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lang w:val="en-US" w:eastAsia="zh-CN"/>
        </w:rPr>
        <w:t>8</w:t>
      </w: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rPr>
        <w:t>自治区财政厅批复后，厅综合规划处将年度交通运输部门支出计划下达各单位，厅财务处按照下达的计划向财政厅申请资金。</w:t>
      </w:r>
    </w:p>
    <w:p w14:paraId="226217AD">
      <w:pPr>
        <w:keepNext w:val="0"/>
        <w:keepLines w:val="0"/>
        <w:pageBreakBefore w:val="0"/>
        <w:kinsoku/>
        <w:wordWrap/>
        <w:overflowPunct/>
        <w:topLinePunct w:val="0"/>
        <w:bidi w:val="0"/>
        <w:spacing w:line="560" w:lineRule="exact"/>
        <w:ind w:firstLine="640" w:firstLineChars="200"/>
        <w:textAlignment w:val="auto"/>
        <w:outlineLvl w:val="1"/>
        <w:rPr>
          <w:rFonts w:hint="default" w:ascii="Times New Roman" w:hAnsi="Times New Roman" w:eastAsia="方正楷体_GBK" w:cs="Times New Roman"/>
          <w:kern w:val="2"/>
          <w:sz w:val="32"/>
          <w:szCs w:val="32"/>
          <w:highlight w:val="none"/>
          <w:lang w:val="en-US" w:eastAsia="zh-CN" w:bidi="ar-SA"/>
        </w:rPr>
      </w:pPr>
      <w:r>
        <w:rPr>
          <w:rFonts w:hint="default" w:ascii="Times New Roman" w:hAnsi="Times New Roman" w:eastAsia="方正楷体_GBK" w:cs="Times New Roman"/>
          <w:kern w:val="2"/>
          <w:sz w:val="32"/>
          <w:szCs w:val="32"/>
          <w:highlight w:val="none"/>
          <w:lang w:val="en-US" w:eastAsia="zh-CN" w:bidi="ar-SA"/>
        </w:rPr>
        <w:t>3.资金分配、管理情况</w:t>
      </w:r>
    </w:p>
    <w:p w14:paraId="71AB57F8">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2"/>
        <w:rPr>
          <w:rFonts w:hint="default" w:ascii="Times New Roman" w:hAnsi="Times New Roman" w:eastAsia="方正仿宋_GBK" w:cs="Times New Roman"/>
          <w:sz w:val="32"/>
          <w:szCs w:val="32"/>
          <w:highlight w:val="none"/>
          <w:shd w:val="clear" w:color="auto" w:fill="FFFFFF"/>
        </w:rPr>
      </w:pPr>
      <w:bookmarkStart w:id="2" w:name="_Toc69718310"/>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lang w:val="en-US" w:eastAsia="zh-CN"/>
        </w:rPr>
        <w:t>1</w:t>
      </w: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rPr>
        <w:t>分配依据</w:t>
      </w:r>
    </w:p>
    <w:p w14:paraId="0FE8494D">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rPr>
        <w:t>各单位年初根据部门职能及工作计划按照预算编制原则编制部门预算，将收入和支出全口径纳入预算，全面、准确、详实反映各项收支情况，从严从紧编制支出预算。</w:t>
      </w:r>
    </w:p>
    <w:p w14:paraId="5B648B1E">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rPr>
        <w:t>按照《自治区本级基本支出预算管理办法》（新财预〔2014〕79号）要求编制基本支出预算，严格控制基本支出的开支范围和标准。</w:t>
      </w:r>
    </w:p>
    <w:p w14:paraId="4248B8DB">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rPr>
        <w:t>上报的项目支出预算按照《关于印发&lt;自治区本级项目支出预算管理办法&gt;的通知》（新财预〔2014〕82号）、《关于进一步完善财政支出绩效评价工作的意见》（新财预〔2014〕35号）要求填报《项目申报书》、《项目绩效目标表》，新增和重大项目还需报送项目事前评估绩效报告。</w:t>
      </w:r>
    </w:p>
    <w:p w14:paraId="1F2245BB">
      <w:pPr>
        <w:keepNext w:val="0"/>
        <w:keepLines w:val="0"/>
        <w:pageBreakBefore w:val="0"/>
        <w:widowControl/>
        <w:kinsoku/>
        <w:wordWrap/>
        <w:overflowPunct/>
        <w:topLinePunct w:val="0"/>
        <w:bidi w:val="0"/>
        <w:spacing w:line="560" w:lineRule="exact"/>
        <w:ind w:firstLine="627" w:firstLineChars="196"/>
        <w:jc w:val="left"/>
        <w:textAlignment w:val="auto"/>
        <w:outlineLvl w:val="2"/>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lang w:val="en-US" w:eastAsia="zh-CN"/>
        </w:rPr>
        <w:t>2</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分配结果</w:t>
      </w:r>
    </w:p>
    <w:p w14:paraId="24EE99CD">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rPr>
        <w:t>按照“谁申请资金，谁设定目标”的原则，在编制202</w:t>
      </w:r>
      <w:r>
        <w:rPr>
          <w:rFonts w:hint="default" w:ascii="Times New Roman" w:hAnsi="Times New Roman" w:eastAsia="方正仿宋_GBK" w:cs="Times New Roman"/>
          <w:sz w:val="32"/>
          <w:szCs w:val="32"/>
          <w:highlight w:val="none"/>
          <w:shd w:val="clear" w:color="auto" w:fill="FFFFFF"/>
          <w:lang w:val="en-US" w:eastAsia="zh-CN"/>
        </w:rPr>
        <w:t>5</w:t>
      </w:r>
      <w:r>
        <w:rPr>
          <w:rFonts w:hint="default" w:ascii="Times New Roman" w:hAnsi="Times New Roman" w:eastAsia="方正仿宋_GBK" w:cs="Times New Roman"/>
          <w:sz w:val="32"/>
          <w:szCs w:val="32"/>
          <w:highlight w:val="none"/>
          <w:shd w:val="clear" w:color="auto" w:fill="FFFFFF"/>
        </w:rPr>
        <w:t>年交通运输部门支出计划时，科学合理测算资金需求，设定绩效目标，绩效目标设定与实际工作内容相符，预算编制和分配符合部门职责和任务要求，根据年度工作重点和工作计划，在不同项目之间进行合理分配。整体绩效目标与预算确定的资金相匹配。</w:t>
      </w:r>
    </w:p>
    <w:p w14:paraId="556F04F0">
      <w:pPr>
        <w:keepNext w:val="0"/>
        <w:keepLines w:val="0"/>
        <w:pageBreakBefore w:val="0"/>
        <w:widowControl/>
        <w:kinsoku/>
        <w:wordWrap/>
        <w:overflowPunct/>
        <w:topLinePunct w:val="0"/>
        <w:bidi w:val="0"/>
        <w:spacing w:line="560" w:lineRule="exact"/>
        <w:ind w:firstLine="627" w:firstLineChars="196"/>
        <w:jc w:val="left"/>
        <w:textAlignment w:val="auto"/>
        <w:outlineLvl w:val="2"/>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lang w:val="en-US" w:eastAsia="zh-CN"/>
        </w:rPr>
        <w:t>3</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重点支出保障率</w:t>
      </w:r>
    </w:p>
    <w:p w14:paraId="4FAB523A">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shd w:val="clear" w:color="auto" w:fill="FFFFFF"/>
        </w:rPr>
        <w:t>我厅优先安排以下类别项目：①偿还银行贷款本息；②完成交通运输部、自治区、交通运输厅年度重点工作任务的项目；③维持部门机构基本运转的项目；④交通运输部、自治区等上级部门督办的项目。重点项目支出总额为2,115,692.34万元，项目支出总额为2,115,692.34万元，本年度重点项目支出保障率为100%。</w:t>
      </w:r>
      <w:bookmarkEnd w:id="2"/>
    </w:p>
    <w:p w14:paraId="2BF57872">
      <w:pPr>
        <w:keepNext w:val="0"/>
        <w:keepLines w:val="0"/>
        <w:pageBreakBefore w:val="0"/>
        <w:kinsoku/>
        <w:wordWrap/>
        <w:overflowPunct/>
        <w:topLinePunct w:val="0"/>
        <w:bidi w:val="0"/>
        <w:spacing w:line="560" w:lineRule="exact"/>
        <w:ind w:firstLine="640" w:firstLineChars="200"/>
        <w:textAlignment w:val="auto"/>
        <w:outlineLvl w:val="1"/>
        <w:rPr>
          <w:rFonts w:hint="default" w:ascii="Times New Roman" w:hAnsi="Times New Roman" w:eastAsia="方正楷体_GBK" w:cs="Times New Roman"/>
          <w:kern w:val="2"/>
          <w:sz w:val="32"/>
          <w:szCs w:val="32"/>
          <w:highlight w:val="none"/>
          <w:lang w:val="en-US" w:eastAsia="zh-CN" w:bidi="ar-SA"/>
        </w:rPr>
      </w:pPr>
      <w:r>
        <w:rPr>
          <w:rFonts w:hint="default" w:ascii="Times New Roman" w:hAnsi="Times New Roman" w:eastAsia="方正楷体_GBK" w:cs="Times New Roman"/>
          <w:kern w:val="2"/>
          <w:sz w:val="32"/>
          <w:szCs w:val="32"/>
          <w:highlight w:val="none"/>
          <w:lang w:val="en-US" w:eastAsia="zh-CN" w:bidi="ar-SA"/>
        </w:rPr>
        <w:t>4.评价使用方法和主要内容、涉及范围</w:t>
      </w:r>
    </w:p>
    <w:p w14:paraId="5BECC5AF">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2"/>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rPr>
        <w:t>（1）评价使用方法</w:t>
      </w:r>
    </w:p>
    <w:p w14:paraId="5F60E307">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rPr>
        <w:t>部门整体绩效评价指标中，所有三</w:t>
      </w:r>
      <w:r>
        <w:rPr>
          <w:rFonts w:hint="eastAsia" w:ascii="Times New Roman" w:hAnsi="Times New Roman" w:eastAsia="方正仿宋_GBK" w:cs="Times New Roman"/>
          <w:sz w:val="32"/>
          <w:szCs w:val="32"/>
          <w:highlight w:val="none"/>
          <w:shd w:val="clear" w:color="auto" w:fill="FFFFFF"/>
          <w:lang w:val="en-US" w:eastAsia="zh-CN"/>
        </w:rPr>
        <w:t>A</w:t>
      </w:r>
      <w:r>
        <w:rPr>
          <w:rFonts w:hint="default" w:ascii="Times New Roman" w:hAnsi="Times New Roman" w:eastAsia="方正仿宋_GBK" w:cs="Times New Roman"/>
          <w:sz w:val="32"/>
          <w:szCs w:val="32"/>
          <w:highlight w:val="none"/>
          <w:shd w:val="clear" w:color="auto" w:fill="FFFFFF"/>
        </w:rPr>
        <w:t>级指标均为定量指标，具体采用方法如下：①比较法，对比三级指标预期指标值和三级指标截至年底的完成情况，综合分析绩效目标实现程度，分析并整改实施单位在项目执行中存在的问题。②比率分析法，通过对资金到位情况、资金执行情况、资金调整情况进行分析，进而对资金拨付的有效性、资金支付的合理性进行评价。③综合评价法，依据科学完善的指标体系对单位进行材料核查、深度访问等系统评价。④因素分析法，通过对各单位的执行情况进行综合分析，找出影响绩效目标实现、实施效果的因素，提出合理的对策建议。</w:t>
      </w:r>
    </w:p>
    <w:p w14:paraId="7128C8DF">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2"/>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rPr>
        <w:t>（2）评价的主要内容</w:t>
      </w:r>
    </w:p>
    <w:p w14:paraId="773D8906">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rPr>
        <w:t>①绩效目标的设定情况。按照年度工作报告、“十四五”公路养护管理发展纲要、公路养护统计年报等合理预计年度目标，并重点评价绩效目标设立的充分性、明确性、合理性以及细化程度。②整体资金投入和使用情况。重点评价资金分配过程、投入方式、资金到位、预算执行。③项目资金执行情况。主要围绕项目资金使用情况、项目管理制度、财务管理制度、资产管理制度和绩效跟踪管理措施等。④资产管理情况，具体涉及资产管理规范性和资产变动情况。⑤政府采购管理情况，具体涉及各单位政府采购预算编制、政府采购实际执行等情况。</w:t>
      </w:r>
    </w:p>
    <w:p w14:paraId="2BE7AFC2">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2"/>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rPr>
        <w:t>（3）评价涉及的范围</w:t>
      </w:r>
    </w:p>
    <w:p w14:paraId="4222A222">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rPr>
        <w:t>对自治区交通运输厅管理效率、履职效能、社会效益等方面进行了全方位、多角度综合评价分析。</w:t>
      </w:r>
    </w:p>
    <w:p w14:paraId="565EC68B">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rPr>
        <w:t>评价的资金为部门全年预算数，包括基本支出、项目支出。</w:t>
      </w:r>
      <w:r>
        <w:rPr>
          <w:rFonts w:hint="default" w:ascii="Times New Roman" w:hAnsi="Times New Roman" w:eastAsia="方正仿宋_GBK" w:cs="Times New Roman"/>
          <w:sz w:val="32"/>
          <w:szCs w:val="32"/>
          <w:highlight w:val="none"/>
        </w:rPr>
        <w:t>预算执行按照《自治区本级预算单位财政资金拨付管理规则》（新财库</w:t>
      </w:r>
      <w:r>
        <w:rPr>
          <w:rFonts w:hint="default" w:ascii="Times New Roman" w:hAnsi="Times New Roman" w:eastAsia="微软雅黑" w:cs="Times New Roman"/>
          <w:sz w:val="32"/>
          <w:szCs w:val="32"/>
          <w:highlight w:val="none"/>
        </w:rPr>
        <w:t>〔</w:t>
      </w:r>
      <w:r>
        <w:rPr>
          <w:rFonts w:hint="default" w:ascii="Times New Roman" w:hAnsi="Times New Roman" w:eastAsia="方正仿宋_GBK" w:cs="Times New Roman"/>
          <w:sz w:val="32"/>
          <w:szCs w:val="32"/>
          <w:highlight w:val="none"/>
        </w:rPr>
        <w:t>2014</w:t>
      </w:r>
      <w:r>
        <w:rPr>
          <w:rFonts w:hint="default" w:ascii="Times New Roman" w:hAnsi="Times New Roman" w:eastAsia="微软雅黑" w:cs="Times New Roman"/>
          <w:sz w:val="32"/>
          <w:szCs w:val="32"/>
          <w:highlight w:val="none"/>
        </w:rPr>
        <w:t>〕</w:t>
      </w:r>
      <w:r>
        <w:rPr>
          <w:rFonts w:hint="default" w:ascii="Times New Roman" w:hAnsi="Times New Roman" w:eastAsia="方正仿宋_GBK" w:cs="Times New Roman"/>
          <w:sz w:val="32"/>
          <w:szCs w:val="32"/>
          <w:highlight w:val="none"/>
        </w:rPr>
        <w:t>7号）要求，实行国库集中支付和公务卡支付。基本支出由财政部门按照进度分期拨付，人员支出按照工资计划发放工资，项目支出在实际支付时实行限额审批制，严格控制资金支出的开支范围和标准。</w:t>
      </w:r>
    </w:p>
    <w:p w14:paraId="12509C81">
      <w:pPr>
        <w:pStyle w:val="22"/>
        <w:keepNext w:val="0"/>
        <w:keepLines w:val="0"/>
        <w:pageBreakBefore w:val="0"/>
        <w:kinsoku/>
        <w:wordWrap/>
        <w:overflowPunct/>
        <w:topLinePunct w:val="0"/>
        <w:bidi w:val="0"/>
        <w:spacing w:line="560" w:lineRule="exact"/>
        <w:textAlignment w:val="auto"/>
        <w:rPr>
          <w:rFonts w:hint="default" w:ascii="Times New Roman" w:hAnsi="Times New Roman" w:eastAsia="方正仿宋_GBK" w:cs="Times New Roman"/>
          <w:color w:val="auto"/>
          <w:highlight w:val="none"/>
        </w:rPr>
      </w:pPr>
      <w:r>
        <w:rPr>
          <w:rFonts w:hint="default" w:ascii="Times New Roman" w:hAnsi="Times New Roman" w:eastAsia="方正仿宋_GBK" w:cs="Times New Roman"/>
          <w:color w:val="auto"/>
          <w:highlight w:val="none"/>
        </w:rPr>
        <w:t>基本支出包括人员经费和公用经费。人员经费主要包括：</w:t>
      </w:r>
      <w:r>
        <w:rPr>
          <w:rFonts w:hint="default" w:ascii="Times New Roman" w:hAnsi="Times New Roman" w:eastAsia="方正仿宋_GBK" w:cs="Times New Roman"/>
          <w:color w:val="auto"/>
          <w:spacing w:val="-4"/>
          <w:kern w:val="2"/>
          <w:highlight w:val="none"/>
        </w:rPr>
        <w:t>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等</w:t>
      </w:r>
      <w:r>
        <w:rPr>
          <w:rFonts w:hint="default" w:ascii="Times New Roman" w:hAnsi="Times New Roman" w:eastAsia="方正仿宋_GBK" w:cs="Times New Roman"/>
          <w:color w:val="auto"/>
          <w:highlight w:val="none"/>
        </w:rPr>
        <w:t>；公用经费主要包括：办公费、印刷费、手续费、水费、电费、邮电费、取暖费、物业管理费、差旅费、维修（护）费、租赁费、培训费、公务接待费、专用材料费、专用燃料费、劳务费、委托业务费、工会经费、福利费、公务用车运行维护费、其他交通费用、税金及附加费用、其他商品和服务支出等。</w:t>
      </w:r>
    </w:p>
    <w:p w14:paraId="2D141878">
      <w:pPr>
        <w:pStyle w:val="22"/>
        <w:keepNext w:val="0"/>
        <w:keepLines w:val="0"/>
        <w:pageBreakBefore w:val="0"/>
        <w:kinsoku/>
        <w:wordWrap/>
        <w:overflowPunct/>
        <w:topLinePunct w:val="0"/>
        <w:bidi w:val="0"/>
        <w:spacing w:line="560" w:lineRule="exact"/>
        <w:textAlignment w:val="auto"/>
        <w:rPr>
          <w:rFonts w:hint="default" w:ascii="Times New Roman" w:hAnsi="Times New Roman" w:eastAsia="方正仿宋_GBK" w:cs="Times New Roman"/>
          <w:color w:val="auto"/>
          <w:highlight w:val="none"/>
        </w:rPr>
      </w:pPr>
      <w:r>
        <w:rPr>
          <w:rFonts w:hint="default" w:ascii="Times New Roman" w:hAnsi="Times New Roman" w:eastAsia="方正仿宋_GBK" w:cs="Times New Roman"/>
          <w:color w:val="auto"/>
          <w:highlight w:val="none"/>
        </w:rPr>
        <w:t>项目支出包括基本工资、津贴补贴、奖金、绩效工资、机关事业单位养老保险缴费、职业年金缴费、职工基本医疗保险缴费、</w:t>
      </w:r>
      <w:r>
        <w:rPr>
          <w:rFonts w:hint="default" w:ascii="Times New Roman" w:hAnsi="Times New Roman" w:eastAsia="方正仿宋_GBK" w:cs="Times New Roman"/>
          <w:color w:val="auto"/>
          <w:spacing w:val="-4"/>
          <w:kern w:val="2"/>
          <w:highlight w:val="none"/>
        </w:rPr>
        <w:t>公务员医疗补助缴费、其他社会保障缴费、住房公积金、其他工资福利支出、</w:t>
      </w:r>
      <w:r>
        <w:rPr>
          <w:rFonts w:hint="default" w:ascii="Times New Roman" w:hAnsi="Times New Roman" w:eastAsia="方正仿宋_GBK" w:cs="Times New Roman"/>
          <w:color w:val="auto"/>
          <w:spacing w:val="-4"/>
          <w:kern w:val="2"/>
          <w:highlight w:val="none"/>
          <w:lang w:val="en-US" w:eastAsia="zh-CN"/>
        </w:rPr>
        <w:t>离休费、</w:t>
      </w:r>
      <w:r>
        <w:rPr>
          <w:rFonts w:hint="default" w:ascii="Times New Roman" w:hAnsi="Times New Roman" w:eastAsia="方正仿宋_GBK" w:cs="Times New Roman"/>
          <w:color w:val="auto"/>
          <w:spacing w:val="-4"/>
          <w:kern w:val="2"/>
          <w:highlight w:val="none"/>
        </w:rPr>
        <w:t>退休费、抚恤金、生活补助、医疗费补助、助学金、奖励金、其他对个人和家庭的补助、</w:t>
      </w:r>
      <w:r>
        <w:rPr>
          <w:rFonts w:hint="default" w:ascii="Times New Roman" w:hAnsi="Times New Roman" w:eastAsia="方正仿宋_GBK" w:cs="Times New Roman"/>
          <w:color w:val="auto"/>
          <w:highlight w:val="none"/>
        </w:rPr>
        <w:t>办公费、印刷费、咨询费、手续费、水费、电费、邮电费、取暖费、物业管理费、差旅费、维修（护）费、租赁费、培训费、专用材料费、劳务费、委托业务费、工会经费、福利费、公务用车运行维护费、其他交通费用、税金及附加费用、其他商品和服务支出、国内债务付息</w:t>
      </w:r>
      <w:r>
        <w:rPr>
          <w:rFonts w:hint="default" w:ascii="Times New Roman" w:hAnsi="Times New Roman" w:eastAsia="方正仿宋_GBK" w:cs="Times New Roman"/>
          <w:color w:val="auto"/>
          <w:highlight w:val="none"/>
          <w:lang w:eastAsia="zh-CN"/>
        </w:rPr>
        <w:t>、</w:t>
      </w:r>
      <w:r>
        <w:rPr>
          <w:rFonts w:hint="default" w:ascii="Times New Roman" w:hAnsi="Times New Roman" w:eastAsia="方正仿宋_GBK" w:cs="Times New Roman"/>
          <w:color w:val="auto"/>
          <w:highlight w:val="none"/>
        </w:rPr>
        <w:t xml:space="preserve">基础设施建设、房屋建筑物构建、办公设备购置、专用设备购置、大型修缮、信息网络及软件购置更新、其他资本性支出。   </w:t>
      </w:r>
      <w:bookmarkStart w:id="3" w:name="_Toc69718311"/>
    </w:p>
    <w:p w14:paraId="65183815">
      <w:pPr>
        <w:pStyle w:val="22"/>
        <w:keepNext w:val="0"/>
        <w:keepLines w:val="0"/>
        <w:pageBreakBefore w:val="0"/>
        <w:kinsoku/>
        <w:wordWrap/>
        <w:overflowPunct/>
        <w:topLinePunct w:val="0"/>
        <w:bidi w:val="0"/>
        <w:spacing w:line="560" w:lineRule="exact"/>
        <w:ind w:firstLineChars="200"/>
        <w:jc w:val="both"/>
        <w:textAlignment w:val="auto"/>
        <w:outlineLvl w:val="0"/>
        <w:rPr>
          <w:rFonts w:hint="default" w:ascii="Times New Roman" w:hAnsi="Times New Roman" w:eastAsia="方正黑体_GBK" w:cs="Times New Roman"/>
          <w:color w:val="auto"/>
          <w:highlight w:val="none"/>
        </w:rPr>
      </w:pPr>
      <w:r>
        <w:rPr>
          <w:rFonts w:hint="default" w:ascii="Times New Roman" w:hAnsi="Times New Roman" w:eastAsia="方正黑体_GBK" w:cs="Times New Roman"/>
          <w:color w:val="auto"/>
          <w:highlight w:val="none"/>
        </w:rPr>
        <w:t>二、部门单位整体支出管理及使用</w:t>
      </w:r>
      <w:bookmarkEnd w:id="3"/>
      <w:r>
        <w:rPr>
          <w:rFonts w:hint="default" w:ascii="Times New Roman" w:hAnsi="Times New Roman" w:eastAsia="方正黑体_GBK" w:cs="Times New Roman"/>
          <w:color w:val="auto"/>
          <w:highlight w:val="none"/>
        </w:rPr>
        <w:t>情况</w:t>
      </w:r>
    </w:p>
    <w:p w14:paraId="2FEDC84A">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1"/>
        <w:rPr>
          <w:rFonts w:hint="default" w:ascii="Times New Roman" w:hAnsi="Times New Roman" w:eastAsia="方正楷体_GBK" w:cs="Times New Roman"/>
          <w:sz w:val="32"/>
          <w:szCs w:val="32"/>
          <w:highlight w:val="none"/>
          <w:shd w:val="clear" w:color="auto" w:fill="FFFFFF"/>
        </w:rPr>
      </w:pPr>
      <w:r>
        <w:rPr>
          <w:rFonts w:hint="default" w:ascii="Times New Roman" w:hAnsi="Times New Roman" w:eastAsia="方正楷体_GBK" w:cs="Times New Roman"/>
          <w:sz w:val="32"/>
          <w:szCs w:val="32"/>
          <w:highlight w:val="none"/>
          <w:shd w:val="clear" w:color="auto" w:fill="FFFFFF"/>
          <w:lang w:eastAsia="zh-CN"/>
        </w:rPr>
        <w:t>（一）</w:t>
      </w:r>
      <w:r>
        <w:rPr>
          <w:rFonts w:hint="default" w:ascii="Times New Roman" w:hAnsi="Times New Roman" w:eastAsia="方正楷体_GBK" w:cs="Times New Roman"/>
          <w:sz w:val="32"/>
          <w:szCs w:val="32"/>
          <w:highlight w:val="none"/>
          <w:shd w:val="clear" w:color="auto" w:fill="FFFFFF"/>
        </w:rPr>
        <w:t>预算管理</w:t>
      </w:r>
    </w:p>
    <w:p w14:paraId="3A517D29">
      <w:pPr>
        <w:pStyle w:val="23"/>
        <w:keepNext w:val="0"/>
        <w:keepLines w:val="0"/>
        <w:pageBreakBefore w:val="0"/>
        <w:kinsoku/>
        <w:wordWrap/>
        <w:overflowPunct/>
        <w:topLinePunct w:val="0"/>
        <w:bidi w:val="0"/>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1.预算管理制度健全。自治区交通运输厅为加强预算管理、规范财务行为，进一步制定和完善相关管理制度，</w:t>
      </w:r>
      <w:r>
        <w:rPr>
          <w:rFonts w:hint="default" w:ascii="Times New Roman" w:hAnsi="Times New Roman" w:eastAsia="方正仿宋_GBK" w:cs="Times New Roman"/>
          <w:color w:val="auto"/>
          <w:sz w:val="32"/>
          <w:szCs w:val="32"/>
          <w:highlight w:val="none"/>
          <w:lang w:eastAsia="zh-CN"/>
        </w:rPr>
        <w:t>将</w:t>
      </w:r>
      <w:r>
        <w:rPr>
          <w:rFonts w:hint="default" w:ascii="Times New Roman" w:hAnsi="Times New Roman" w:eastAsia="方正仿宋_GBK" w:cs="Times New Roman"/>
          <w:color w:val="auto"/>
          <w:sz w:val="32"/>
          <w:szCs w:val="32"/>
          <w:highlight w:val="none"/>
        </w:rPr>
        <w:t>预算管理制度健全完整。</w:t>
      </w:r>
      <w:r>
        <w:rPr>
          <w:rFonts w:hint="eastAsia"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rPr>
        <w:t>关于印发</w:t>
      </w:r>
      <w:r>
        <w:rPr>
          <w:rFonts w:hint="eastAsia" w:ascii="Times New Roman" w:hAnsi="Times New Roman" w:eastAsia="方正仿宋_GBK" w:cs="Times New Roman"/>
          <w:color w:val="auto"/>
          <w:sz w:val="32"/>
          <w:szCs w:val="32"/>
          <w:highlight w:val="none"/>
          <w:lang w:val="en-US" w:eastAsia="zh-CN"/>
        </w:rPr>
        <w:t>&lt;</w:t>
      </w:r>
      <w:r>
        <w:rPr>
          <w:rFonts w:hint="default" w:ascii="Times New Roman" w:hAnsi="Times New Roman" w:eastAsia="方正仿宋_GBK" w:cs="Times New Roman"/>
          <w:color w:val="auto"/>
          <w:sz w:val="32"/>
          <w:szCs w:val="32"/>
          <w:highlight w:val="none"/>
        </w:rPr>
        <w:t>交通运输厅机关预算资金管理暂行办法</w:t>
      </w:r>
      <w:r>
        <w:rPr>
          <w:rFonts w:hint="eastAsia" w:ascii="Times New Roman" w:hAnsi="Times New Roman" w:eastAsia="方正仿宋_GBK" w:cs="Times New Roman"/>
          <w:color w:val="auto"/>
          <w:sz w:val="32"/>
          <w:szCs w:val="32"/>
          <w:highlight w:val="none"/>
          <w:lang w:val="en-US" w:eastAsia="zh-CN"/>
        </w:rPr>
        <w:t>&gt;</w:t>
      </w:r>
      <w:r>
        <w:rPr>
          <w:rFonts w:hint="default" w:ascii="Times New Roman" w:hAnsi="Times New Roman" w:eastAsia="方正仿宋_GBK" w:cs="Times New Roman"/>
          <w:color w:val="auto"/>
          <w:sz w:val="32"/>
          <w:szCs w:val="32"/>
          <w:highlight w:val="none"/>
        </w:rPr>
        <w:t>的通知</w:t>
      </w:r>
      <w:r>
        <w:rPr>
          <w:rFonts w:hint="eastAsia" w:ascii="Times New Roman" w:hAnsi="Times New Roman" w:eastAsia="方正仿宋_GBK" w:cs="Times New Roman"/>
          <w:color w:val="auto"/>
          <w:sz w:val="32"/>
          <w:szCs w:val="32"/>
          <w:highlight w:val="none"/>
          <w:lang w:eastAsia="zh-CN"/>
        </w:rPr>
        <w:t>》（</w:t>
      </w:r>
      <w:r>
        <w:rPr>
          <w:rFonts w:hint="eastAsia" w:ascii="Times New Roman" w:hAnsi="Times New Roman" w:eastAsia="方正仿宋_GBK" w:cs="Times New Roman"/>
          <w:color w:val="auto"/>
          <w:sz w:val="32"/>
          <w:szCs w:val="32"/>
          <w:highlight w:val="none"/>
          <w:lang w:val="en-US" w:eastAsia="zh-CN"/>
        </w:rPr>
        <w:t>新交办发</w:t>
      </w:r>
      <w:r>
        <w:rPr>
          <w:rFonts w:hint="default" w:ascii="Times New Roman" w:hAnsi="Times New Roman" w:eastAsia="方正仿宋_GBK" w:cs="Times New Roman"/>
          <w:color w:val="auto"/>
          <w:sz w:val="32"/>
          <w:szCs w:val="32"/>
          <w:highlight w:val="none"/>
        </w:rPr>
        <w:t>〔20</w:t>
      </w:r>
      <w:r>
        <w:rPr>
          <w:rFonts w:hint="eastAsia" w:ascii="Times New Roman" w:hAnsi="Times New Roman" w:eastAsia="方正仿宋_GBK" w:cs="Times New Roman"/>
          <w:color w:val="auto"/>
          <w:sz w:val="32"/>
          <w:szCs w:val="32"/>
          <w:highlight w:val="none"/>
          <w:lang w:val="en-US" w:eastAsia="zh-CN"/>
        </w:rPr>
        <w:t>24</w:t>
      </w:r>
      <w:r>
        <w:rPr>
          <w:rFonts w:hint="default" w:ascii="Times New Roman" w:hAnsi="Times New Roman" w:eastAsia="方正仿宋_GBK" w:cs="Times New Roman"/>
          <w:color w:val="auto"/>
          <w:sz w:val="32"/>
          <w:szCs w:val="32"/>
          <w:highlight w:val="none"/>
        </w:rPr>
        <w:t>〕</w:t>
      </w:r>
      <w:r>
        <w:rPr>
          <w:rFonts w:hint="eastAsia" w:ascii="Times New Roman" w:hAnsi="Times New Roman" w:eastAsia="方正仿宋_GBK" w:cs="Times New Roman"/>
          <w:color w:val="auto"/>
          <w:sz w:val="32"/>
          <w:szCs w:val="32"/>
          <w:highlight w:val="none"/>
          <w:lang w:val="en-US" w:eastAsia="zh-CN"/>
        </w:rPr>
        <w:t>8号</w:t>
      </w:r>
      <w:r>
        <w:rPr>
          <w:rFonts w:hint="eastAsia"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rPr>
        <w:t>《关于进一步明确机关合同管理办法中有关规定和事项的通知》（新交</w:t>
      </w:r>
      <w:r>
        <w:rPr>
          <w:rFonts w:hint="eastAsia" w:ascii="Times New Roman" w:hAnsi="Times New Roman" w:eastAsia="方正仿宋_GBK" w:cs="Times New Roman"/>
          <w:color w:val="auto"/>
          <w:sz w:val="32"/>
          <w:szCs w:val="32"/>
          <w:highlight w:val="none"/>
          <w:lang w:val="en-US" w:eastAsia="zh-CN"/>
        </w:rPr>
        <w:t>办发</w:t>
      </w:r>
      <w:r>
        <w:rPr>
          <w:rFonts w:hint="default" w:ascii="Times New Roman" w:hAnsi="Times New Roman" w:eastAsia="方正仿宋_GBK" w:cs="Times New Roman"/>
          <w:color w:val="auto"/>
          <w:sz w:val="32"/>
          <w:szCs w:val="32"/>
          <w:highlight w:val="none"/>
        </w:rPr>
        <w:t>〔20</w:t>
      </w:r>
      <w:r>
        <w:rPr>
          <w:rFonts w:hint="eastAsia" w:ascii="Times New Roman" w:hAnsi="Times New Roman" w:eastAsia="方正仿宋_GBK" w:cs="Times New Roman"/>
          <w:color w:val="auto"/>
          <w:sz w:val="32"/>
          <w:szCs w:val="32"/>
          <w:highlight w:val="none"/>
          <w:lang w:val="en-US" w:eastAsia="zh-CN"/>
        </w:rPr>
        <w:t>25</w:t>
      </w:r>
      <w:r>
        <w:rPr>
          <w:rFonts w:hint="default" w:ascii="Times New Roman" w:hAnsi="Times New Roman" w:eastAsia="方正仿宋_GBK" w:cs="Times New Roman"/>
          <w:color w:val="auto"/>
          <w:sz w:val="32"/>
          <w:szCs w:val="32"/>
          <w:highlight w:val="none"/>
        </w:rPr>
        <w:t>〕</w:t>
      </w:r>
      <w:r>
        <w:rPr>
          <w:rFonts w:hint="eastAsia" w:ascii="Times New Roman" w:hAnsi="Times New Roman" w:eastAsia="方正仿宋_GBK" w:cs="Times New Roman"/>
          <w:color w:val="auto"/>
          <w:sz w:val="32"/>
          <w:szCs w:val="32"/>
          <w:highlight w:val="none"/>
          <w:lang w:val="en-US" w:eastAsia="zh-CN"/>
        </w:rPr>
        <w:t>18号</w:t>
      </w:r>
      <w:r>
        <w:rPr>
          <w:rFonts w:hint="default" w:ascii="Times New Roman" w:hAnsi="Times New Roman" w:eastAsia="方正仿宋_GBK" w:cs="Times New Roman"/>
          <w:color w:val="auto"/>
          <w:sz w:val="32"/>
          <w:szCs w:val="32"/>
          <w:highlight w:val="none"/>
        </w:rPr>
        <w:t>）、</w:t>
      </w:r>
      <w:r>
        <w:rPr>
          <w:rFonts w:hint="eastAsia"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rPr>
        <w:t>关于印发</w:t>
      </w:r>
      <w:r>
        <w:rPr>
          <w:rFonts w:hint="eastAsia" w:ascii="Times New Roman" w:hAnsi="Times New Roman" w:eastAsia="方正仿宋_GBK" w:cs="Times New Roman"/>
          <w:color w:val="auto"/>
          <w:sz w:val="32"/>
          <w:szCs w:val="32"/>
          <w:highlight w:val="none"/>
          <w:lang w:val="en-US" w:eastAsia="zh-CN"/>
        </w:rPr>
        <w:t>&lt;</w:t>
      </w:r>
      <w:r>
        <w:rPr>
          <w:rFonts w:hint="default" w:ascii="Times New Roman" w:hAnsi="Times New Roman" w:eastAsia="方正仿宋_GBK" w:cs="Times New Roman"/>
          <w:color w:val="auto"/>
          <w:sz w:val="32"/>
          <w:szCs w:val="32"/>
          <w:highlight w:val="none"/>
        </w:rPr>
        <w:t>新疆维吾尔自治区交通运输厅机关合同管理办法(暂行)</w:t>
      </w:r>
      <w:r>
        <w:rPr>
          <w:rFonts w:hint="eastAsia" w:ascii="Times New Roman" w:hAnsi="Times New Roman" w:eastAsia="方正仿宋_GBK" w:cs="Times New Roman"/>
          <w:color w:val="auto"/>
          <w:sz w:val="32"/>
          <w:szCs w:val="32"/>
          <w:highlight w:val="none"/>
          <w:lang w:val="en-US" w:eastAsia="zh-CN"/>
        </w:rPr>
        <w:t>&gt;</w:t>
      </w:r>
      <w:r>
        <w:rPr>
          <w:rFonts w:hint="default" w:ascii="Times New Roman" w:hAnsi="Times New Roman" w:eastAsia="方正仿宋_GBK" w:cs="Times New Roman"/>
          <w:color w:val="auto"/>
          <w:sz w:val="32"/>
          <w:szCs w:val="32"/>
          <w:highlight w:val="none"/>
        </w:rPr>
        <w:t>的通知</w:t>
      </w:r>
      <w:r>
        <w:rPr>
          <w:rFonts w:hint="eastAsia" w:ascii="Times New Roman" w:hAnsi="Times New Roman" w:eastAsia="方正仿宋_GBK" w:cs="Times New Roman"/>
          <w:color w:val="auto"/>
          <w:sz w:val="32"/>
          <w:szCs w:val="32"/>
          <w:highlight w:val="none"/>
          <w:lang w:eastAsia="zh-CN"/>
        </w:rPr>
        <w:t>》（新交发</w:t>
      </w:r>
      <w:r>
        <w:rPr>
          <w:rFonts w:hint="default" w:ascii="Times New Roman" w:hAnsi="Times New Roman" w:eastAsia="方正仿宋_GBK" w:cs="Times New Roman"/>
          <w:color w:val="auto"/>
          <w:sz w:val="32"/>
          <w:szCs w:val="32"/>
          <w:highlight w:val="none"/>
        </w:rPr>
        <w:t>〔</w:t>
      </w:r>
      <w:r>
        <w:rPr>
          <w:rFonts w:hint="eastAsia" w:ascii="Times New Roman" w:hAnsi="Times New Roman" w:eastAsia="方正仿宋_GBK" w:cs="Times New Roman"/>
          <w:color w:val="auto"/>
          <w:sz w:val="32"/>
          <w:szCs w:val="32"/>
          <w:highlight w:val="none"/>
          <w:lang w:eastAsia="zh-CN"/>
        </w:rPr>
        <w:t>2023</w:t>
      </w:r>
      <w:r>
        <w:rPr>
          <w:rFonts w:hint="default" w:ascii="Times New Roman" w:hAnsi="Times New Roman" w:eastAsia="方正仿宋_GBK" w:cs="Times New Roman"/>
          <w:color w:val="auto"/>
          <w:sz w:val="32"/>
          <w:szCs w:val="32"/>
          <w:highlight w:val="none"/>
        </w:rPr>
        <w:t>〕</w:t>
      </w:r>
      <w:r>
        <w:rPr>
          <w:rFonts w:hint="eastAsia" w:ascii="Times New Roman" w:hAnsi="Times New Roman" w:eastAsia="方正仿宋_GBK" w:cs="Times New Roman"/>
          <w:color w:val="auto"/>
          <w:sz w:val="32"/>
          <w:szCs w:val="32"/>
          <w:highlight w:val="none"/>
          <w:lang w:eastAsia="zh-CN"/>
        </w:rPr>
        <w:t>95号）、《关于印发《自治区交通运输厅机关政府采购工作流程图》(试行)的通知》、《关于加强和规范厅系统政府采购管理工作的通知》、</w:t>
      </w:r>
      <w:r>
        <w:rPr>
          <w:rFonts w:hint="default" w:ascii="Times New Roman" w:hAnsi="Times New Roman" w:eastAsia="方正仿宋_GBK" w:cs="Times New Roman"/>
          <w:color w:val="auto"/>
          <w:sz w:val="32"/>
          <w:szCs w:val="32"/>
          <w:highlight w:val="none"/>
        </w:rPr>
        <w:t>《关于印发&lt;自治区交通运输厅交通基本建设资金监督管理办法&gt;的通知》（新交财〔2020〕99号）、《关于进一步加强使用公务卡结算的通知》（新交财〔2020〕61号）、《关于做好自治区政府采购项目电子化的通知》（新交财〔2020〕78号）《关于加强固定资产管理工作的通知》（新交财〔2020〕240号）等管理制度。</w:t>
      </w:r>
    </w:p>
    <w:p w14:paraId="187A0314">
      <w:pPr>
        <w:pStyle w:val="23"/>
        <w:keepNext w:val="0"/>
        <w:keepLines w:val="0"/>
        <w:pageBreakBefore w:val="0"/>
        <w:kinsoku/>
        <w:wordWrap/>
        <w:overflowPunct/>
        <w:topLinePunct w:val="0"/>
        <w:bidi w:val="0"/>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2.资金使用合规安全。严格执行预算法等法律法规规定，自觉把法规要求贯彻于预算编报、执行、绩效等各个环节，严格预算执行的监督管理，强化支出责任，对财政资金实行全过程监督，防止财政资金挤占、截留、挪用、闲置、有效防控财政风险。</w:t>
      </w:r>
    </w:p>
    <w:p w14:paraId="5C64681C">
      <w:pPr>
        <w:pStyle w:val="23"/>
        <w:keepNext w:val="0"/>
        <w:keepLines w:val="0"/>
        <w:pageBreakBefore w:val="0"/>
        <w:kinsoku/>
        <w:wordWrap/>
        <w:overflowPunct/>
        <w:topLinePunct w:val="0"/>
        <w:bidi w:val="0"/>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3.预决算信息公开透明。按照预算法要求，做好预决算公开工作。一是主动接受人大、财政和审计监督。二是严格按规定的时限公开。三是严格按照规范的模板公开。</w:t>
      </w:r>
    </w:p>
    <w:p w14:paraId="6581F673">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1"/>
        <w:rPr>
          <w:rFonts w:hint="default" w:ascii="Times New Roman" w:hAnsi="Times New Roman" w:eastAsia="方正楷体_GBK" w:cs="Times New Roman"/>
          <w:sz w:val="32"/>
          <w:szCs w:val="32"/>
          <w:highlight w:val="none"/>
          <w:shd w:val="clear" w:color="auto" w:fill="FFFFFF"/>
          <w:lang w:eastAsia="zh-CN"/>
        </w:rPr>
      </w:pPr>
      <w:r>
        <w:rPr>
          <w:rFonts w:hint="default" w:ascii="Times New Roman" w:hAnsi="Times New Roman" w:eastAsia="方正楷体_GBK" w:cs="Times New Roman"/>
          <w:sz w:val="32"/>
          <w:szCs w:val="32"/>
          <w:highlight w:val="none"/>
          <w:shd w:val="clear" w:color="auto" w:fill="FFFFFF"/>
          <w:lang w:eastAsia="zh-CN"/>
        </w:rPr>
        <w:t>（二）整体支出管理及使用情况</w:t>
      </w:r>
    </w:p>
    <w:p w14:paraId="0E5119C3">
      <w:pPr>
        <w:pStyle w:val="23"/>
        <w:keepNext w:val="0"/>
        <w:keepLines w:val="0"/>
        <w:pageBreakBefore w:val="0"/>
        <w:kinsoku/>
        <w:wordWrap/>
        <w:overflowPunct/>
        <w:topLinePunct w:val="0"/>
        <w:bidi w:val="0"/>
        <w:spacing w:line="560" w:lineRule="exact"/>
        <w:ind w:firstLine="624" w:firstLineChars="200"/>
        <w:textAlignment w:val="auto"/>
        <w:rPr>
          <w:rFonts w:hint="default" w:ascii="Times New Roman" w:hAnsi="Times New Roman" w:eastAsia="方正仿宋_GBK" w:cs="Times New Roman"/>
          <w:color w:val="auto"/>
          <w:spacing w:val="-4"/>
          <w:kern w:val="2"/>
          <w:sz w:val="32"/>
          <w:szCs w:val="32"/>
          <w:highlight w:val="none"/>
        </w:rPr>
      </w:pPr>
      <w:r>
        <w:rPr>
          <w:rFonts w:hint="default" w:ascii="Times New Roman" w:hAnsi="Times New Roman" w:eastAsia="方正仿宋_GBK" w:cs="Times New Roman"/>
          <w:color w:val="auto"/>
          <w:spacing w:val="-4"/>
          <w:kern w:val="2"/>
          <w:sz w:val="32"/>
          <w:szCs w:val="32"/>
          <w:highlight w:val="none"/>
        </w:rPr>
        <w:t>202</w:t>
      </w:r>
      <w:r>
        <w:rPr>
          <w:rFonts w:hint="eastAsia" w:ascii="Times New Roman" w:hAnsi="Times New Roman" w:eastAsia="方正仿宋_GBK" w:cs="Times New Roman"/>
          <w:color w:val="auto"/>
          <w:spacing w:val="-4"/>
          <w:kern w:val="2"/>
          <w:sz w:val="32"/>
          <w:szCs w:val="32"/>
          <w:highlight w:val="none"/>
          <w:lang w:val="en-US" w:eastAsia="zh-CN"/>
        </w:rPr>
        <w:t>5</w:t>
      </w:r>
      <w:r>
        <w:rPr>
          <w:rFonts w:hint="default" w:ascii="Times New Roman" w:hAnsi="Times New Roman" w:eastAsia="方正仿宋_GBK" w:cs="Times New Roman"/>
          <w:color w:val="auto"/>
          <w:spacing w:val="-4"/>
          <w:kern w:val="2"/>
          <w:sz w:val="32"/>
          <w:szCs w:val="32"/>
          <w:highlight w:val="none"/>
        </w:rPr>
        <w:t>年自治区交通运输厅部门整体支出预算安排资金2,240,021.91万元，年初预算资金到位2,240,021.91万元，资金到位率为100%。</w:t>
      </w:r>
    </w:p>
    <w:p w14:paraId="41E41F8C">
      <w:pPr>
        <w:keepNext w:val="0"/>
        <w:keepLines w:val="0"/>
        <w:pageBreakBefore w:val="0"/>
        <w:kinsoku/>
        <w:wordWrap/>
        <w:overflowPunct/>
        <w:topLinePunct w:val="0"/>
        <w:bidi w:val="0"/>
        <w:spacing w:line="560" w:lineRule="exact"/>
        <w:ind w:firstLine="624"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pacing w:val="-4"/>
          <w:sz w:val="32"/>
          <w:szCs w:val="32"/>
          <w:highlight w:val="none"/>
        </w:rPr>
        <w:t>截至202</w:t>
      </w:r>
      <w:r>
        <w:rPr>
          <w:rFonts w:hint="eastAsia" w:ascii="Times New Roman" w:hAnsi="Times New Roman" w:eastAsia="方正仿宋_GBK" w:cs="Times New Roman"/>
          <w:spacing w:val="-4"/>
          <w:sz w:val="32"/>
          <w:szCs w:val="32"/>
          <w:highlight w:val="none"/>
          <w:lang w:val="en-US" w:eastAsia="zh-CN"/>
        </w:rPr>
        <w:t>5</w:t>
      </w:r>
      <w:r>
        <w:rPr>
          <w:rFonts w:hint="default" w:ascii="Times New Roman" w:hAnsi="Times New Roman" w:eastAsia="方正仿宋_GBK" w:cs="Times New Roman"/>
          <w:spacing w:val="-4"/>
          <w:sz w:val="32"/>
          <w:szCs w:val="32"/>
          <w:highlight w:val="none"/>
        </w:rPr>
        <w:t>年12月31日年初预算资金支出2</w:t>
      </w:r>
      <w:r>
        <w:rPr>
          <w:rFonts w:hint="eastAsia" w:ascii="Times New Roman" w:hAnsi="Times New Roman" w:eastAsia="方正仿宋_GBK" w:cs="Times New Roman"/>
          <w:spacing w:val="-4"/>
          <w:sz w:val="32"/>
          <w:szCs w:val="32"/>
          <w:highlight w:val="none"/>
          <w:lang w:val="en-US" w:eastAsia="zh-CN"/>
        </w:rPr>
        <w:t>,</w:t>
      </w:r>
      <w:r>
        <w:rPr>
          <w:rFonts w:hint="default" w:ascii="Times New Roman" w:hAnsi="Times New Roman" w:eastAsia="方正仿宋_GBK" w:cs="Times New Roman"/>
          <w:spacing w:val="-4"/>
          <w:sz w:val="32"/>
          <w:szCs w:val="32"/>
          <w:highlight w:val="none"/>
        </w:rPr>
        <w:t>092</w:t>
      </w:r>
      <w:r>
        <w:rPr>
          <w:rFonts w:hint="eastAsia" w:ascii="Times New Roman" w:hAnsi="Times New Roman" w:eastAsia="方正仿宋_GBK" w:cs="Times New Roman"/>
          <w:spacing w:val="-4"/>
          <w:sz w:val="32"/>
          <w:szCs w:val="32"/>
          <w:highlight w:val="none"/>
          <w:lang w:val="en-US" w:eastAsia="zh-CN"/>
        </w:rPr>
        <w:t>,</w:t>
      </w:r>
      <w:r>
        <w:rPr>
          <w:rFonts w:hint="default" w:ascii="Times New Roman" w:hAnsi="Times New Roman" w:eastAsia="方正仿宋_GBK" w:cs="Times New Roman"/>
          <w:spacing w:val="-4"/>
          <w:sz w:val="32"/>
          <w:szCs w:val="32"/>
          <w:highlight w:val="none"/>
        </w:rPr>
        <w:t>925.054万元，资金执行率为</w:t>
      </w:r>
      <w:r>
        <w:rPr>
          <w:rFonts w:hint="default" w:ascii="Times New Roman" w:hAnsi="Times New Roman" w:eastAsia="方正仿宋_GBK" w:cs="Times New Roman"/>
          <w:spacing w:val="-4"/>
          <w:sz w:val="32"/>
          <w:szCs w:val="32"/>
          <w:highlight w:val="none"/>
          <w:lang w:val="en-US" w:eastAsia="zh-CN"/>
        </w:rPr>
        <w:t>93.43%</w:t>
      </w:r>
      <w:r>
        <w:rPr>
          <w:rFonts w:hint="default" w:ascii="Times New Roman" w:hAnsi="Times New Roman" w:eastAsia="方正仿宋_GBK" w:cs="Times New Roman"/>
          <w:spacing w:val="-4"/>
          <w:sz w:val="32"/>
          <w:szCs w:val="32"/>
          <w:highlight w:val="none"/>
        </w:rPr>
        <w:t>。年初预算资金执行率未达到100%的原因为：（</w:t>
      </w:r>
      <w:r>
        <w:rPr>
          <w:rFonts w:hint="default" w:ascii="Times New Roman" w:hAnsi="Times New Roman" w:eastAsia="方正仿宋_GBK" w:cs="Times New Roman"/>
          <w:spacing w:val="-4"/>
          <w:sz w:val="32"/>
          <w:szCs w:val="32"/>
          <w:highlight w:val="none"/>
          <w:lang w:val="en-US" w:eastAsia="zh-CN"/>
        </w:rPr>
        <w:t>1</w:t>
      </w:r>
      <w:r>
        <w:rPr>
          <w:rFonts w:hint="default" w:ascii="Times New Roman" w:hAnsi="Times New Roman" w:eastAsia="方正仿宋_GBK" w:cs="Times New Roman"/>
          <w:spacing w:val="-4"/>
          <w:sz w:val="32"/>
          <w:szCs w:val="32"/>
          <w:highlight w:val="none"/>
        </w:rPr>
        <w:t>）</w:t>
      </w:r>
      <w:r>
        <w:rPr>
          <w:rFonts w:hint="default" w:ascii="Times New Roman" w:hAnsi="Times New Roman" w:eastAsia="方正仿宋_GBK" w:cs="Times New Roman"/>
          <w:spacing w:val="-4"/>
          <w:sz w:val="32"/>
          <w:szCs w:val="32"/>
          <w:highlight w:val="none"/>
          <w:lang w:val="en-US" w:eastAsia="zh-CN"/>
        </w:rPr>
        <w:t>新疆维吾尔自治区交通建设局</w:t>
      </w:r>
      <w:r>
        <w:rPr>
          <w:rFonts w:hint="default" w:ascii="Times New Roman" w:hAnsi="Times New Roman" w:eastAsia="方正仿宋_GBK" w:cs="Times New Roman"/>
          <w:spacing w:val="-4"/>
          <w:sz w:val="32"/>
          <w:szCs w:val="32"/>
          <w:highlight w:val="none"/>
        </w:rPr>
        <w:t>G577昭苏-木扎尔特口岸公路建设项目</w:t>
      </w:r>
      <w:r>
        <w:rPr>
          <w:rFonts w:hint="default" w:ascii="Times New Roman" w:hAnsi="Times New Roman" w:eastAsia="方正仿宋_GBK" w:cs="Times New Roman"/>
          <w:spacing w:val="-4"/>
          <w:sz w:val="32"/>
          <w:szCs w:val="32"/>
          <w:highlight w:val="none"/>
          <w:lang w:eastAsia="zh-CN"/>
        </w:rPr>
        <w:t>、</w:t>
      </w:r>
      <w:r>
        <w:rPr>
          <w:rFonts w:hint="default" w:ascii="Times New Roman" w:hAnsi="Times New Roman" w:eastAsia="方正仿宋_GBK" w:cs="Times New Roman"/>
          <w:spacing w:val="-4"/>
          <w:sz w:val="32"/>
          <w:szCs w:val="32"/>
          <w:highlight w:val="none"/>
        </w:rPr>
        <w:t>G219线喀纳斯一哈巴河一吉木乃公路</w:t>
      </w:r>
      <w:r>
        <w:rPr>
          <w:rFonts w:hint="eastAsia" w:ascii="Times New Roman" w:hAnsi="Times New Roman" w:eastAsia="方正仿宋_GBK" w:cs="Times New Roman"/>
          <w:spacing w:val="-4"/>
          <w:sz w:val="32"/>
          <w:szCs w:val="32"/>
          <w:highlight w:val="none"/>
          <w:lang w:eastAsia="zh-CN"/>
        </w:rPr>
        <w:t>、普通省道建设</w:t>
      </w:r>
      <w:r>
        <w:rPr>
          <w:rFonts w:hint="default" w:ascii="Times New Roman" w:hAnsi="Times New Roman" w:eastAsia="方正仿宋_GBK" w:cs="Times New Roman"/>
          <w:spacing w:val="-4"/>
          <w:sz w:val="32"/>
          <w:szCs w:val="32"/>
          <w:highlight w:val="none"/>
          <w:lang w:val="en-US" w:eastAsia="zh-CN"/>
        </w:rPr>
        <w:t>等项目</w:t>
      </w:r>
      <w:r>
        <w:rPr>
          <w:rFonts w:hint="eastAsia" w:ascii="Times New Roman" w:hAnsi="Times New Roman" w:eastAsia="方正仿宋_GBK" w:cs="Times New Roman"/>
          <w:spacing w:val="-4"/>
          <w:sz w:val="32"/>
          <w:szCs w:val="32"/>
          <w:highlight w:val="none"/>
          <w:lang w:val="en-US" w:eastAsia="zh-CN"/>
        </w:rPr>
        <w:t>因</w:t>
      </w:r>
      <w:r>
        <w:rPr>
          <w:rFonts w:hint="default" w:ascii="Times New Roman" w:hAnsi="Times New Roman" w:eastAsia="方正仿宋_GBK" w:cs="Times New Roman"/>
          <w:spacing w:val="-4"/>
          <w:sz w:val="32"/>
          <w:szCs w:val="32"/>
          <w:highlight w:val="none"/>
          <w:lang w:val="en-US" w:eastAsia="zh-CN"/>
        </w:rPr>
        <w:t>变更审批缓慢，导致天气已转冷，无法施工，影响施工进度和预算执行率。</w:t>
      </w:r>
      <w:r>
        <w:rPr>
          <w:rFonts w:hint="eastAsia" w:ascii="Times New Roman" w:hAnsi="Times New Roman" w:eastAsia="方正仿宋_GBK" w:cs="Times New Roman"/>
          <w:spacing w:val="-4"/>
          <w:sz w:val="32"/>
          <w:szCs w:val="32"/>
          <w:highlight w:val="none"/>
          <w:lang w:val="en-US" w:eastAsia="zh-CN"/>
        </w:rPr>
        <w:t>（2）各预算单位年初申报的单位资金及非财政拨款结余资金预算执行率较低，原因为</w:t>
      </w:r>
      <w:r>
        <w:rPr>
          <w:rFonts w:hint="default" w:ascii="Times New Roman" w:hAnsi="Times New Roman" w:eastAsia="方正仿宋_GBK" w:cs="Times New Roman"/>
          <w:spacing w:val="-4"/>
          <w:sz w:val="32"/>
          <w:szCs w:val="32"/>
          <w:highlight w:val="none"/>
          <w:lang w:val="en-US" w:eastAsia="zh-CN"/>
        </w:rPr>
        <w:t>新疆维吾尔自治区交通建设局</w:t>
      </w:r>
      <w:r>
        <w:rPr>
          <w:rFonts w:hint="eastAsia" w:ascii="Times New Roman" w:hAnsi="Times New Roman" w:eastAsia="方正仿宋_GBK" w:cs="Times New Roman"/>
          <w:spacing w:val="-4"/>
          <w:sz w:val="32"/>
          <w:szCs w:val="32"/>
          <w:highlight w:val="none"/>
          <w:lang w:val="en-US" w:eastAsia="zh-CN"/>
        </w:rPr>
        <w:t>、新疆维吾尔自治区公路事业发展中心机关等单位因本年度财政预算拨付充裕，使用单位自有资金弥补经费开支较少。</w:t>
      </w:r>
      <w:r>
        <w:rPr>
          <w:rFonts w:hint="default" w:ascii="Times New Roman" w:hAnsi="Times New Roman" w:eastAsia="方正仿宋_GBK" w:cs="Times New Roman"/>
          <w:spacing w:val="-4"/>
          <w:sz w:val="32"/>
          <w:szCs w:val="32"/>
          <w:highlight w:val="none"/>
        </w:rPr>
        <w:t>（</w:t>
      </w:r>
      <w:r>
        <w:rPr>
          <w:rFonts w:hint="eastAsia" w:ascii="Times New Roman" w:hAnsi="Times New Roman" w:eastAsia="方正仿宋_GBK" w:cs="Times New Roman"/>
          <w:spacing w:val="-4"/>
          <w:sz w:val="32"/>
          <w:szCs w:val="32"/>
          <w:highlight w:val="none"/>
          <w:lang w:val="en-US" w:eastAsia="zh-CN"/>
        </w:rPr>
        <w:t>3</w:t>
      </w:r>
      <w:r>
        <w:rPr>
          <w:rFonts w:hint="default" w:ascii="Times New Roman" w:hAnsi="Times New Roman" w:eastAsia="方正仿宋_GBK" w:cs="Times New Roman"/>
          <w:spacing w:val="-4"/>
          <w:sz w:val="32"/>
          <w:szCs w:val="32"/>
          <w:highlight w:val="none"/>
        </w:rPr>
        <w:t>）在公开招标采购过程中，招标预算价格作为招标最高限价，由于市场价格变化较大，实际中标价低于预算价格，导致</w:t>
      </w:r>
      <w:r>
        <w:rPr>
          <w:rFonts w:hint="eastAsia" w:ascii="Times New Roman" w:hAnsi="Times New Roman" w:eastAsia="方正仿宋_GBK" w:cs="Times New Roman"/>
          <w:spacing w:val="-4"/>
          <w:sz w:val="32"/>
          <w:szCs w:val="32"/>
          <w:highlight w:val="none"/>
          <w:lang w:val="en-US" w:eastAsia="zh-CN"/>
        </w:rPr>
        <w:t>形成</w:t>
      </w:r>
      <w:r>
        <w:rPr>
          <w:rFonts w:hint="default" w:ascii="Times New Roman" w:hAnsi="Times New Roman" w:eastAsia="方正仿宋_GBK" w:cs="Times New Roman"/>
          <w:spacing w:val="-4"/>
          <w:sz w:val="32"/>
          <w:szCs w:val="32"/>
          <w:highlight w:val="none"/>
        </w:rPr>
        <w:t>招标结余资金</w:t>
      </w:r>
      <w:r>
        <w:rPr>
          <w:rFonts w:hint="eastAsia" w:ascii="Times New Roman" w:hAnsi="Times New Roman" w:eastAsia="方正仿宋_GBK" w:cs="Times New Roman"/>
          <w:spacing w:val="-4"/>
          <w:sz w:val="32"/>
          <w:szCs w:val="32"/>
          <w:highlight w:val="none"/>
          <w:lang w:eastAsia="zh-CN"/>
        </w:rPr>
        <w:t>，</w:t>
      </w:r>
      <w:r>
        <w:rPr>
          <w:rFonts w:hint="default" w:ascii="Times New Roman" w:hAnsi="Times New Roman" w:eastAsia="方正仿宋_GBK" w:cs="Times New Roman"/>
          <w:spacing w:val="-4"/>
          <w:sz w:val="32"/>
          <w:szCs w:val="32"/>
          <w:highlight w:val="none"/>
        </w:rPr>
        <w:t>年终上缴财政。</w:t>
      </w:r>
    </w:p>
    <w:p w14:paraId="6AE7DF3B">
      <w:pPr>
        <w:pStyle w:val="23"/>
        <w:keepNext w:val="0"/>
        <w:keepLines w:val="0"/>
        <w:pageBreakBefore w:val="0"/>
        <w:kinsoku/>
        <w:wordWrap/>
        <w:overflowPunct/>
        <w:topLinePunct w:val="0"/>
        <w:bidi w:val="0"/>
        <w:spacing w:line="560" w:lineRule="exact"/>
        <w:ind w:firstLine="624" w:firstLineChars="200"/>
        <w:textAlignment w:val="auto"/>
        <w:rPr>
          <w:rFonts w:hint="default" w:ascii="Times New Roman" w:hAnsi="Times New Roman" w:eastAsia="方正仿宋_GBK" w:cs="Times New Roman"/>
          <w:color w:val="auto"/>
          <w:spacing w:val="-4"/>
          <w:kern w:val="2"/>
          <w:sz w:val="32"/>
          <w:szCs w:val="32"/>
          <w:highlight w:val="none"/>
        </w:rPr>
      </w:pPr>
      <w:r>
        <w:rPr>
          <w:rFonts w:hint="default" w:ascii="Times New Roman" w:hAnsi="Times New Roman" w:eastAsia="方正仿宋_GBK" w:cs="Times New Roman"/>
          <w:color w:val="auto"/>
          <w:spacing w:val="-4"/>
          <w:kern w:val="2"/>
          <w:sz w:val="32"/>
          <w:szCs w:val="32"/>
          <w:highlight w:val="none"/>
        </w:rPr>
        <w:t>本年调整追加资金 712,741.89 万元，调整后部门全年预算数为2,952,763.80万元，其中:中央安排资金2,435,267.92万元,自治区安排资金496,646.01万元，其他资金20,849.87万元。全年实际支出资金2,122,966.96万元，预算执行率为7</w:t>
      </w:r>
      <w:r>
        <w:rPr>
          <w:rFonts w:hint="eastAsia" w:ascii="Times New Roman" w:hAnsi="Times New Roman" w:eastAsia="方正仿宋_GBK" w:cs="Times New Roman"/>
          <w:color w:val="auto"/>
          <w:spacing w:val="-4"/>
          <w:kern w:val="2"/>
          <w:sz w:val="32"/>
          <w:szCs w:val="32"/>
          <w:highlight w:val="none"/>
          <w:lang w:val="en-US" w:eastAsia="zh-CN"/>
        </w:rPr>
        <w:t>1</w:t>
      </w:r>
      <w:r>
        <w:rPr>
          <w:rFonts w:hint="default" w:ascii="Times New Roman" w:hAnsi="Times New Roman" w:eastAsia="方正仿宋_GBK" w:cs="Times New Roman"/>
          <w:color w:val="auto"/>
          <w:spacing w:val="-4"/>
          <w:kern w:val="2"/>
          <w:sz w:val="32"/>
          <w:szCs w:val="32"/>
          <w:highlight w:val="none"/>
        </w:rPr>
        <w:t>.</w:t>
      </w:r>
      <w:r>
        <w:rPr>
          <w:rFonts w:hint="eastAsia" w:ascii="Times New Roman" w:hAnsi="Times New Roman" w:eastAsia="方正仿宋_GBK" w:cs="Times New Roman"/>
          <w:color w:val="auto"/>
          <w:spacing w:val="-4"/>
          <w:kern w:val="2"/>
          <w:sz w:val="32"/>
          <w:szCs w:val="32"/>
          <w:highlight w:val="none"/>
          <w:lang w:val="en-US" w:eastAsia="zh-CN"/>
        </w:rPr>
        <w:t>90</w:t>
      </w:r>
      <w:r>
        <w:rPr>
          <w:rFonts w:hint="default" w:ascii="Times New Roman" w:hAnsi="Times New Roman" w:eastAsia="方正仿宋_GBK" w:cs="Times New Roman"/>
          <w:color w:val="auto"/>
          <w:spacing w:val="-4"/>
          <w:kern w:val="2"/>
          <w:sz w:val="32"/>
          <w:szCs w:val="32"/>
          <w:highlight w:val="none"/>
        </w:rPr>
        <w:t>%。其中:中央安排资金支出1,623,214.30万元，自治区安排资金支出492,622.61万元，其他资金支出7,130.05万元。</w:t>
      </w:r>
    </w:p>
    <w:p w14:paraId="72A367D8">
      <w:pPr>
        <w:pStyle w:val="23"/>
        <w:keepNext w:val="0"/>
        <w:keepLines w:val="0"/>
        <w:pageBreakBefore w:val="0"/>
        <w:kinsoku/>
        <w:wordWrap/>
        <w:overflowPunct/>
        <w:topLinePunct w:val="0"/>
        <w:bidi w:val="0"/>
        <w:spacing w:line="560" w:lineRule="exact"/>
        <w:ind w:firstLine="640" w:firstLineChars="200"/>
        <w:textAlignment w:val="auto"/>
        <w:rPr>
          <w:rFonts w:hint="default" w:ascii="Times New Roman" w:hAnsi="Times New Roman" w:eastAsia="方正仿宋_GBK" w:cs="Times New Roman"/>
          <w:color w:val="auto"/>
          <w:spacing w:val="-4"/>
          <w:kern w:val="2"/>
          <w:sz w:val="32"/>
          <w:szCs w:val="32"/>
          <w:highlight w:val="none"/>
        </w:rPr>
      </w:pPr>
      <w:r>
        <w:rPr>
          <w:rFonts w:hint="default" w:ascii="Times New Roman" w:hAnsi="Times New Roman" w:eastAsia="方正仿宋_GBK" w:cs="Times New Roman"/>
          <w:sz w:val="32"/>
          <w:szCs w:val="32"/>
          <w:highlight w:val="none"/>
        </w:rPr>
        <w:t>我厅严格实施政府采购程序，属于政府采购的</w:t>
      </w:r>
      <w:r>
        <w:rPr>
          <w:rFonts w:hint="default" w:ascii="Times New Roman" w:hAnsi="Times New Roman" w:eastAsia="方正仿宋_GBK" w:cs="Times New Roman"/>
          <w:sz w:val="32"/>
          <w:szCs w:val="32"/>
          <w:highlight w:val="none"/>
          <w:lang w:eastAsia="zh-CN"/>
        </w:rPr>
        <w:t>预算</w:t>
      </w:r>
      <w:r>
        <w:rPr>
          <w:rFonts w:hint="default" w:ascii="Times New Roman" w:hAnsi="Times New Roman" w:eastAsia="方正仿宋_GBK" w:cs="Times New Roman"/>
          <w:sz w:val="32"/>
          <w:szCs w:val="32"/>
          <w:highlight w:val="none"/>
        </w:rPr>
        <w:t>支出严格按</w:t>
      </w:r>
      <w:r>
        <w:rPr>
          <w:rFonts w:hint="default" w:ascii="Times New Roman" w:hAnsi="Times New Roman" w:eastAsia="方正仿宋_GBK" w:cs="Times New Roman"/>
          <w:sz w:val="32"/>
          <w:szCs w:val="32"/>
          <w:highlight w:val="none"/>
          <w:lang w:eastAsia="zh-CN"/>
        </w:rPr>
        <w:t>照</w:t>
      </w:r>
      <w:r>
        <w:rPr>
          <w:rFonts w:hint="default" w:ascii="Times New Roman" w:hAnsi="Times New Roman" w:eastAsia="方正仿宋_GBK" w:cs="Times New Roman"/>
          <w:sz w:val="32"/>
          <w:szCs w:val="32"/>
          <w:highlight w:val="none"/>
        </w:rPr>
        <w:t>政府采购的有关规定执行。202</w:t>
      </w:r>
      <w:r>
        <w:rPr>
          <w:rFonts w:hint="eastAsia"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rPr>
        <w:t>年，交通运输厅及下属单位政府采购预算42</w:t>
      </w:r>
      <w:r>
        <w:rPr>
          <w:rFonts w:hint="eastAsia" w:ascii="Times New Roman" w:hAnsi="Times New Roman" w:eastAsia="方正仿宋_GBK" w:cs="Times New Roman"/>
          <w:sz w:val="32"/>
          <w:szCs w:val="32"/>
          <w:highlight w:val="none"/>
          <w:lang w:val="en-US" w:eastAsia="zh-CN"/>
        </w:rPr>
        <w:t>,</w:t>
      </w:r>
      <w:r>
        <w:rPr>
          <w:rFonts w:hint="default" w:ascii="Times New Roman" w:hAnsi="Times New Roman" w:eastAsia="方正仿宋_GBK" w:cs="Times New Roman"/>
          <w:sz w:val="32"/>
          <w:szCs w:val="32"/>
          <w:highlight w:val="none"/>
        </w:rPr>
        <w:t>286.03万元，实际政府采购执行数为31,241.43万元，其中政府采购货物支出5,760.47万元，政府采购工程支出1,383.49万元，政府采购服务支出24,097.46万元。政府采购执行率为</w:t>
      </w:r>
      <w:r>
        <w:rPr>
          <w:rFonts w:hint="eastAsia" w:ascii="Times New Roman" w:hAnsi="Times New Roman" w:eastAsia="方正仿宋_GBK" w:cs="Times New Roman"/>
          <w:sz w:val="32"/>
          <w:szCs w:val="32"/>
          <w:highlight w:val="none"/>
          <w:lang w:val="en-US" w:eastAsia="zh-CN"/>
        </w:rPr>
        <w:t>73.88</w:t>
      </w:r>
      <w:r>
        <w:rPr>
          <w:rFonts w:hint="default" w:ascii="Times New Roman" w:hAnsi="Times New Roman" w:eastAsia="方正仿宋_GBK" w:cs="Times New Roman"/>
          <w:sz w:val="32"/>
          <w:szCs w:val="32"/>
          <w:highlight w:val="none"/>
        </w:rPr>
        <w:t>%。</w:t>
      </w:r>
    </w:p>
    <w:p w14:paraId="3EDB86CA">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1"/>
        <w:rPr>
          <w:rFonts w:hint="default" w:ascii="Times New Roman" w:hAnsi="Times New Roman" w:eastAsia="方正楷体_GBK" w:cs="Times New Roman"/>
          <w:sz w:val="32"/>
          <w:szCs w:val="32"/>
          <w:highlight w:val="none"/>
          <w:shd w:val="clear" w:color="auto" w:fill="FFFFFF"/>
          <w:lang w:eastAsia="zh-CN"/>
        </w:rPr>
      </w:pPr>
      <w:bookmarkStart w:id="4" w:name="_Toc69718312"/>
      <w:r>
        <w:rPr>
          <w:rFonts w:hint="default" w:ascii="Times New Roman" w:hAnsi="Times New Roman" w:eastAsia="方正楷体_GBK" w:cs="Times New Roman"/>
          <w:sz w:val="32"/>
          <w:szCs w:val="32"/>
          <w:highlight w:val="none"/>
          <w:shd w:val="clear" w:color="auto" w:fill="FFFFFF"/>
          <w:lang w:eastAsia="zh-CN"/>
        </w:rPr>
        <w:t>（三）基本支出管理和使用情况</w:t>
      </w:r>
      <w:bookmarkEnd w:id="4"/>
    </w:p>
    <w:p w14:paraId="19DDCC3C">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default" w:ascii="Times New Roman" w:hAnsi="Times New Roman" w:eastAsia="方正仿宋_GBK" w:cs="Times New Roman"/>
          <w:snapToGrid w:val="0"/>
          <w:spacing w:val="-4"/>
          <w:sz w:val="32"/>
          <w:szCs w:val="32"/>
          <w:highlight w:val="none"/>
        </w:rPr>
      </w:pPr>
      <w:r>
        <w:rPr>
          <w:rFonts w:hint="default" w:ascii="Times New Roman" w:hAnsi="Times New Roman" w:eastAsia="方正仿宋_GBK" w:cs="Times New Roman"/>
          <w:snapToGrid w:val="0"/>
          <w:sz w:val="32"/>
          <w:szCs w:val="32"/>
          <w:highlight w:val="none"/>
        </w:rPr>
        <w:t>202</w:t>
      </w:r>
      <w:r>
        <w:rPr>
          <w:rFonts w:hint="eastAsia" w:ascii="Times New Roman" w:hAnsi="Times New Roman" w:eastAsia="方正仿宋_GBK" w:cs="Times New Roman"/>
          <w:snapToGrid w:val="0"/>
          <w:sz w:val="32"/>
          <w:szCs w:val="32"/>
          <w:highlight w:val="none"/>
          <w:lang w:val="en-US" w:eastAsia="zh-CN"/>
        </w:rPr>
        <w:t>5</w:t>
      </w:r>
      <w:r>
        <w:rPr>
          <w:rFonts w:hint="default" w:ascii="Times New Roman" w:hAnsi="Times New Roman" w:eastAsia="方正仿宋_GBK" w:cs="Times New Roman"/>
          <w:snapToGrid w:val="0"/>
          <w:sz w:val="32"/>
          <w:szCs w:val="32"/>
          <w:highlight w:val="none"/>
        </w:rPr>
        <w:t>年预算安排基本支出245</w:t>
      </w:r>
      <w:r>
        <w:rPr>
          <w:rFonts w:hint="eastAsia" w:ascii="Times New Roman" w:hAnsi="Times New Roman" w:eastAsia="方正仿宋_GBK" w:cs="Times New Roman"/>
          <w:snapToGrid w:val="0"/>
          <w:sz w:val="32"/>
          <w:szCs w:val="32"/>
          <w:highlight w:val="none"/>
          <w:lang w:val="en-US" w:eastAsia="zh-CN"/>
        </w:rPr>
        <w:t>,</w:t>
      </w:r>
      <w:r>
        <w:rPr>
          <w:rFonts w:hint="default" w:ascii="Times New Roman" w:hAnsi="Times New Roman" w:eastAsia="方正仿宋_GBK" w:cs="Times New Roman"/>
          <w:snapToGrid w:val="0"/>
          <w:sz w:val="32"/>
          <w:szCs w:val="32"/>
          <w:highlight w:val="none"/>
        </w:rPr>
        <w:t>332.83万元，本年追加基本支出资金</w:t>
      </w:r>
      <w:r>
        <w:rPr>
          <w:rFonts w:hint="default" w:ascii="Times New Roman" w:hAnsi="Times New Roman" w:eastAsia="方正仿宋_GBK" w:cs="Times New Roman"/>
          <w:snapToGrid w:val="0"/>
          <w:sz w:val="32"/>
          <w:szCs w:val="32"/>
          <w:highlight w:val="none"/>
          <w:lang w:val="en-US" w:eastAsia="zh-CN"/>
        </w:rPr>
        <w:t>68</w:t>
      </w:r>
      <w:r>
        <w:rPr>
          <w:rFonts w:hint="eastAsia" w:ascii="Times New Roman" w:hAnsi="Times New Roman" w:eastAsia="方正仿宋_GBK" w:cs="Times New Roman"/>
          <w:snapToGrid w:val="0"/>
          <w:sz w:val="32"/>
          <w:szCs w:val="32"/>
          <w:highlight w:val="none"/>
          <w:lang w:val="en-US" w:eastAsia="zh-CN"/>
        </w:rPr>
        <w:t>,</w:t>
      </w:r>
      <w:r>
        <w:rPr>
          <w:rFonts w:hint="default" w:ascii="Times New Roman" w:hAnsi="Times New Roman" w:eastAsia="方正仿宋_GBK" w:cs="Times New Roman"/>
          <w:snapToGrid w:val="0"/>
          <w:sz w:val="32"/>
          <w:szCs w:val="32"/>
          <w:highlight w:val="none"/>
          <w:lang w:val="en-US" w:eastAsia="zh-CN"/>
        </w:rPr>
        <w:t>268.32</w:t>
      </w:r>
      <w:r>
        <w:rPr>
          <w:rFonts w:hint="default" w:ascii="Times New Roman" w:hAnsi="Times New Roman" w:eastAsia="方正仿宋_GBK" w:cs="Times New Roman"/>
          <w:snapToGrid w:val="0"/>
          <w:sz w:val="32"/>
          <w:szCs w:val="32"/>
          <w:highlight w:val="none"/>
          <w:lang w:eastAsia="zh-CN"/>
        </w:rPr>
        <w:t>万元</w:t>
      </w:r>
      <w:r>
        <w:rPr>
          <w:rFonts w:hint="default" w:ascii="Times New Roman" w:hAnsi="Times New Roman" w:eastAsia="方正仿宋_GBK" w:cs="Times New Roman"/>
          <w:snapToGrid w:val="0"/>
          <w:sz w:val="32"/>
          <w:szCs w:val="32"/>
          <w:highlight w:val="none"/>
        </w:rPr>
        <w:t>，202</w:t>
      </w:r>
      <w:r>
        <w:rPr>
          <w:rFonts w:hint="eastAsia" w:ascii="Times New Roman" w:hAnsi="Times New Roman" w:eastAsia="方正仿宋_GBK" w:cs="Times New Roman"/>
          <w:snapToGrid w:val="0"/>
          <w:sz w:val="32"/>
          <w:szCs w:val="32"/>
          <w:highlight w:val="none"/>
          <w:lang w:val="en-US" w:eastAsia="zh-CN"/>
        </w:rPr>
        <w:t>5</w:t>
      </w:r>
      <w:r>
        <w:rPr>
          <w:rFonts w:hint="default" w:ascii="Times New Roman" w:hAnsi="Times New Roman" w:eastAsia="方正仿宋_GBK" w:cs="Times New Roman"/>
          <w:snapToGrid w:val="0"/>
          <w:sz w:val="32"/>
          <w:szCs w:val="32"/>
          <w:highlight w:val="none"/>
        </w:rPr>
        <w:t>年基本支出资金总额</w:t>
      </w:r>
      <w:r>
        <w:rPr>
          <w:rFonts w:hint="default" w:ascii="Times New Roman" w:hAnsi="Times New Roman" w:eastAsia="方正仿宋_GBK" w:cs="Times New Roman"/>
          <w:spacing w:val="-4"/>
          <w:kern w:val="2"/>
          <w:sz w:val="32"/>
          <w:szCs w:val="32"/>
          <w:highlight w:val="none"/>
          <w:lang w:val="en-US" w:eastAsia="zh-CN"/>
        </w:rPr>
        <w:t xml:space="preserve">313,601.15 </w:t>
      </w:r>
      <w:r>
        <w:rPr>
          <w:rFonts w:hint="default" w:ascii="Times New Roman" w:hAnsi="Times New Roman" w:eastAsia="方正仿宋_GBK" w:cs="Times New Roman"/>
          <w:snapToGrid w:val="0"/>
          <w:sz w:val="32"/>
          <w:szCs w:val="32"/>
          <w:highlight w:val="none"/>
        </w:rPr>
        <w:t>万元。追</w:t>
      </w:r>
      <w:r>
        <w:rPr>
          <w:rFonts w:hint="default" w:ascii="Times New Roman" w:hAnsi="Times New Roman" w:eastAsia="方正仿宋_GBK" w:cs="Times New Roman"/>
          <w:spacing w:val="-4"/>
          <w:sz w:val="32"/>
          <w:szCs w:val="32"/>
          <w:highlight w:val="none"/>
        </w:rPr>
        <w:t>加的基本支出资金主要为财政追加下达</w:t>
      </w:r>
      <w:r>
        <w:rPr>
          <w:rFonts w:hint="eastAsia" w:ascii="Times New Roman" w:hAnsi="Times New Roman" w:eastAsia="方正仿宋_GBK" w:cs="Times New Roman"/>
          <w:spacing w:val="-4"/>
          <w:sz w:val="32"/>
          <w:szCs w:val="32"/>
          <w:highlight w:val="none"/>
          <w:lang w:val="en-US" w:eastAsia="zh-CN"/>
        </w:rPr>
        <w:t>2024年度绩效考核奖、记实2025年职业年金单位缴费、调增基本工资</w:t>
      </w:r>
      <w:r>
        <w:rPr>
          <w:rFonts w:hint="default" w:ascii="Times New Roman" w:hAnsi="Times New Roman" w:eastAsia="方正仿宋_GBK" w:cs="Times New Roman"/>
          <w:spacing w:val="-4"/>
          <w:sz w:val="32"/>
          <w:szCs w:val="32"/>
          <w:highlight w:val="none"/>
        </w:rPr>
        <w:t>、追加职工基本医疗保险、丧葬费抚恤金、结对认亲交通费等人员经费。</w:t>
      </w:r>
    </w:p>
    <w:p w14:paraId="6F69079B">
      <w:pPr>
        <w:pStyle w:val="9"/>
        <w:keepNext w:val="0"/>
        <w:keepLines w:val="0"/>
        <w:pageBreakBefore w:val="0"/>
        <w:widowControl/>
        <w:kinsoku/>
        <w:wordWrap/>
        <w:overflowPunct/>
        <w:topLinePunct w:val="0"/>
        <w:bidi w:val="0"/>
        <w:spacing w:beforeAutospacing="0" w:afterAutospacing="0" w:line="560" w:lineRule="exact"/>
        <w:ind w:firstLine="624" w:firstLineChars="200"/>
        <w:jc w:val="both"/>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pacing w:val="-4"/>
          <w:kern w:val="2"/>
          <w:sz w:val="32"/>
          <w:szCs w:val="32"/>
          <w:highlight w:val="none"/>
        </w:rPr>
        <w:t>202</w:t>
      </w:r>
      <w:r>
        <w:rPr>
          <w:rFonts w:hint="eastAsia" w:ascii="Times New Roman" w:hAnsi="Times New Roman" w:eastAsia="方正仿宋_GBK" w:cs="Times New Roman"/>
          <w:spacing w:val="-4"/>
          <w:kern w:val="2"/>
          <w:sz w:val="32"/>
          <w:szCs w:val="32"/>
          <w:highlight w:val="none"/>
          <w:lang w:val="en-US" w:eastAsia="zh-CN"/>
        </w:rPr>
        <w:t>5</w:t>
      </w:r>
      <w:r>
        <w:rPr>
          <w:rFonts w:hint="default" w:ascii="Times New Roman" w:hAnsi="Times New Roman" w:eastAsia="方正仿宋_GBK" w:cs="Times New Roman"/>
          <w:spacing w:val="-4"/>
          <w:kern w:val="2"/>
          <w:sz w:val="32"/>
          <w:szCs w:val="32"/>
          <w:highlight w:val="none"/>
        </w:rPr>
        <w:t>年度基本支出实际支出数为312,863.22万元，执行率为</w:t>
      </w:r>
      <w:r>
        <w:rPr>
          <w:rFonts w:hint="default" w:ascii="Times New Roman" w:hAnsi="Times New Roman" w:eastAsia="方正仿宋_GBK" w:cs="Times New Roman"/>
          <w:snapToGrid w:val="0"/>
          <w:sz w:val="32"/>
          <w:szCs w:val="32"/>
          <w:highlight w:val="none"/>
          <w:lang w:val="en-US" w:eastAsia="zh-CN"/>
        </w:rPr>
        <w:t>99.7</w:t>
      </w:r>
      <w:r>
        <w:rPr>
          <w:rFonts w:hint="eastAsia" w:ascii="Times New Roman" w:hAnsi="Times New Roman" w:eastAsia="方正仿宋_GBK" w:cs="Times New Roman"/>
          <w:snapToGrid w:val="0"/>
          <w:sz w:val="32"/>
          <w:szCs w:val="32"/>
          <w:highlight w:val="none"/>
          <w:lang w:val="en-US" w:eastAsia="zh-CN"/>
        </w:rPr>
        <w:t>6</w:t>
      </w:r>
      <w:r>
        <w:rPr>
          <w:rFonts w:hint="default" w:ascii="Times New Roman" w:hAnsi="Times New Roman" w:eastAsia="方正仿宋_GBK" w:cs="Times New Roman"/>
          <w:snapToGrid w:val="0"/>
          <w:sz w:val="32"/>
          <w:szCs w:val="32"/>
          <w:highlight w:val="none"/>
        </w:rPr>
        <w:t>%</w:t>
      </w:r>
      <w:r>
        <w:rPr>
          <w:rFonts w:hint="default" w:ascii="Times New Roman" w:hAnsi="Times New Roman" w:eastAsia="方正仿宋_GBK" w:cs="Times New Roman"/>
          <w:spacing w:val="-4"/>
          <w:kern w:val="2"/>
          <w:sz w:val="32"/>
          <w:szCs w:val="32"/>
          <w:highlight w:val="none"/>
        </w:rPr>
        <w:t>。</w:t>
      </w:r>
      <w:r>
        <w:rPr>
          <w:rFonts w:hint="default" w:ascii="Times New Roman" w:hAnsi="Times New Roman" w:eastAsia="方正仿宋_GBK" w:cs="Times New Roman"/>
          <w:sz w:val="32"/>
          <w:szCs w:val="32"/>
          <w:highlight w:val="none"/>
        </w:rPr>
        <w:t>基本支出主要用于日常工作运转开支，包括人员的工资福利支出、商品和服务支出、对个人和家庭的补助支出等。人员经费的开支主要是按照人事部门工资系统核定的工资额进行发放，公用经费按照厉行节约的原则并严格规范资金审批流程, 尤其是“三公”经费严格控制在预算指标内。</w:t>
      </w:r>
    </w:p>
    <w:p w14:paraId="611FB184">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1"/>
        <w:rPr>
          <w:rFonts w:hint="default" w:ascii="Times New Roman" w:hAnsi="Times New Roman" w:eastAsia="方正楷体_GBK" w:cs="Times New Roman"/>
          <w:sz w:val="32"/>
          <w:szCs w:val="32"/>
          <w:highlight w:val="none"/>
          <w:shd w:val="clear" w:color="auto" w:fill="FFFFFF"/>
          <w:lang w:eastAsia="zh-CN"/>
        </w:rPr>
      </w:pPr>
      <w:r>
        <w:rPr>
          <w:rFonts w:hint="default" w:ascii="Times New Roman" w:hAnsi="Times New Roman" w:eastAsia="方正楷体_GBK" w:cs="Times New Roman"/>
          <w:sz w:val="32"/>
          <w:szCs w:val="32"/>
          <w:highlight w:val="none"/>
          <w:shd w:val="clear" w:color="auto" w:fill="FFFFFF"/>
          <w:lang w:eastAsia="zh-CN"/>
        </w:rPr>
        <w:t>（四）“三公”经费控制情况</w:t>
      </w:r>
    </w:p>
    <w:p w14:paraId="5A322C75">
      <w:pPr>
        <w:keepNext w:val="0"/>
        <w:keepLines w:val="0"/>
        <w:pageBreakBefore w:val="0"/>
        <w:kinsoku/>
        <w:wordWrap/>
        <w:overflowPunct/>
        <w:topLinePunct w:val="0"/>
        <w:bidi w:val="0"/>
        <w:spacing w:line="560" w:lineRule="exact"/>
        <w:ind w:firstLine="3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 xml:space="preserve">    我厅认真贯彻落实中央关于厉行节约反对浪费的有关规定，严格执行《党政机关厉行节约反对浪费条例》，从严控制一般性支出。</w:t>
      </w:r>
    </w:p>
    <w:p w14:paraId="3D2A39DF">
      <w:pPr>
        <w:keepNext w:val="0"/>
        <w:keepLines w:val="0"/>
        <w:pageBreakBefore w:val="0"/>
        <w:kinsoku/>
        <w:wordWrap/>
        <w:overflowPunct/>
        <w:topLinePunct w:val="0"/>
        <w:bidi w:val="0"/>
        <w:spacing w:line="560" w:lineRule="exact"/>
        <w:ind w:firstLine="681" w:firstLineChars="213"/>
        <w:jc w:val="left"/>
        <w:textAlignment w:val="auto"/>
        <w:rPr>
          <w:rFonts w:hint="default" w:ascii="Times New Roman" w:hAnsi="Times New Roman" w:eastAsia="方正仿宋_GBK" w:cs="Times New Roman"/>
          <w:kern w:val="1"/>
          <w:sz w:val="32"/>
          <w:szCs w:val="32"/>
          <w:highlight w:val="none"/>
        </w:rPr>
      </w:pPr>
      <w:r>
        <w:rPr>
          <w:rFonts w:hint="default" w:ascii="Times New Roman" w:hAnsi="Times New Roman" w:eastAsia="方正仿宋_GBK" w:cs="Times New Roman"/>
          <w:kern w:val="1"/>
          <w:sz w:val="32"/>
          <w:szCs w:val="32"/>
          <w:highlight w:val="none"/>
        </w:rPr>
        <w:t>202</w:t>
      </w:r>
      <w:r>
        <w:rPr>
          <w:rFonts w:hint="eastAsia" w:ascii="Times New Roman" w:hAnsi="Times New Roman" w:eastAsia="方正仿宋_GBK" w:cs="Times New Roman"/>
          <w:kern w:val="1"/>
          <w:sz w:val="32"/>
          <w:szCs w:val="32"/>
          <w:highlight w:val="none"/>
          <w:lang w:val="en-US" w:eastAsia="zh-CN"/>
        </w:rPr>
        <w:t>5</w:t>
      </w:r>
      <w:r>
        <w:rPr>
          <w:rFonts w:hint="default" w:ascii="Times New Roman" w:hAnsi="Times New Roman" w:eastAsia="方正仿宋_GBK" w:cs="Times New Roman"/>
          <w:kern w:val="1"/>
          <w:sz w:val="32"/>
          <w:szCs w:val="32"/>
          <w:highlight w:val="none"/>
        </w:rPr>
        <w:t>年“三公”经费预算数为1,992.96万元，其中，公务接待费</w:t>
      </w:r>
      <w:r>
        <w:rPr>
          <w:rFonts w:hint="default" w:ascii="Times New Roman" w:hAnsi="Times New Roman" w:eastAsia="方正仿宋_GBK" w:cs="Times New Roman"/>
          <w:kern w:val="1"/>
          <w:sz w:val="32"/>
          <w:szCs w:val="32"/>
          <w:highlight w:val="none"/>
          <w:lang w:val="en-US" w:eastAsia="zh-CN"/>
        </w:rPr>
        <w:t>5.50</w:t>
      </w:r>
      <w:r>
        <w:rPr>
          <w:rFonts w:hint="default" w:ascii="Times New Roman" w:hAnsi="Times New Roman" w:eastAsia="方正仿宋_GBK" w:cs="Times New Roman"/>
          <w:kern w:val="1"/>
          <w:sz w:val="32"/>
          <w:szCs w:val="32"/>
          <w:highlight w:val="none"/>
        </w:rPr>
        <w:t>万元，公务用车购置及运行维护费1,987.46万元（其中公务用车购置为0.00万元），因公出国（境）费0.00万元。</w:t>
      </w:r>
    </w:p>
    <w:p w14:paraId="32DA3D0D">
      <w:pPr>
        <w:keepNext w:val="0"/>
        <w:keepLines w:val="0"/>
        <w:pageBreakBefore w:val="0"/>
        <w:kinsoku/>
        <w:wordWrap/>
        <w:overflowPunct/>
        <w:topLinePunct w:val="0"/>
        <w:bidi w:val="0"/>
        <w:spacing w:line="560" w:lineRule="exact"/>
        <w:ind w:firstLine="681" w:firstLineChars="213"/>
        <w:jc w:val="left"/>
        <w:textAlignment w:val="auto"/>
        <w:rPr>
          <w:rFonts w:hint="default" w:ascii="Times New Roman" w:hAnsi="Times New Roman" w:eastAsia="方正仿宋_GBK" w:cs="Times New Roman"/>
          <w:kern w:val="1"/>
          <w:sz w:val="32"/>
          <w:szCs w:val="32"/>
          <w:highlight w:val="none"/>
        </w:rPr>
      </w:pPr>
      <w:r>
        <w:rPr>
          <w:rFonts w:hint="default" w:ascii="Times New Roman" w:hAnsi="Times New Roman" w:eastAsia="方正仿宋_GBK" w:cs="Times New Roman"/>
          <w:kern w:val="1"/>
          <w:sz w:val="32"/>
          <w:szCs w:val="32"/>
          <w:highlight w:val="none"/>
        </w:rPr>
        <w:t>202</w:t>
      </w:r>
      <w:r>
        <w:rPr>
          <w:rFonts w:hint="eastAsia" w:ascii="Times New Roman" w:hAnsi="Times New Roman" w:eastAsia="方正仿宋_GBK" w:cs="Times New Roman"/>
          <w:kern w:val="1"/>
          <w:sz w:val="32"/>
          <w:szCs w:val="32"/>
          <w:highlight w:val="none"/>
          <w:lang w:val="en-US" w:eastAsia="zh-CN"/>
        </w:rPr>
        <w:t>5</w:t>
      </w:r>
      <w:r>
        <w:rPr>
          <w:rFonts w:hint="default" w:ascii="Times New Roman" w:hAnsi="Times New Roman" w:eastAsia="方正仿宋_GBK" w:cs="Times New Roman"/>
          <w:kern w:val="1"/>
          <w:sz w:val="32"/>
          <w:szCs w:val="32"/>
          <w:highlight w:val="none"/>
        </w:rPr>
        <w:t>年“三公”经费决算支出1,981.17万元，其中公务接待费</w:t>
      </w:r>
      <w:r>
        <w:rPr>
          <w:rFonts w:hint="default" w:ascii="Times New Roman" w:hAnsi="Times New Roman" w:eastAsia="方正仿宋_GBK" w:cs="Times New Roman"/>
          <w:kern w:val="1"/>
          <w:sz w:val="32"/>
          <w:szCs w:val="32"/>
          <w:highlight w:val="none"/>
          <w:lang w:val="en-US" w:eastAsia="zh-CN"/>
        </w:rPr>
        <w:t>3.98</w:t>
      </w:r>
      <w:r>
        <w:rPr>
          <w:rFonts w:hint="default" w:ascii="Times New Roman" w:hAnsi="Times New Roman" w:eastAsia="方正仿宋_GBK" w:cs="Times New Roman"/>
          <w:kern w:val="1"/>
          <w:sz w:val="32"/>
          <w:szCs w:val="32"/>
          <w:highlight w:val="none"/>
        </w:rPr>
        <w:t>万元、公务用车购置及运行费1,977.19万元，较202</w:t>
      </w:r>
      <w:r>
        <w:rPr>
          <w:rFonts w:hint="eastAsia" w:ascii="Times New Roman" w:hAnsi="Times New Roman" w:eastAsia="方正仿宋_GBK" w:cs="Times New Roman"/>
          <w:kern w:val="1"/>
          <w:sz w:val="32"/>
          <w:szCs w:val="32"/>
          <w:highlight w:val="none"/>
          <w:lang w:val="en-US" w:eastAsia="zh-CN"/>
        </w:rPr>
        <w:t>4</w:t>
      </w:r>
      <w:r>
        <w:rPr>
          <w:rFonts w:hint="default" w:ascii="Times New Roman" w:hAnsi="Times New Roman" w:eastAsia="方正仿宋_GBK" w:cs="Times New Roman"/>
          <w:kern w:val="1"/>
          <w:sz w:val="32"/>
          <w:szCs w:val="32"/>
          <w:highlight w:val="none"/>
        </w:rPr>
        <w:t>年“三公”经费决算支出2</w:t>
      </w:r>
      <w:r>
        <w:rPr>
          <w:rFonts w:hint="eastAsia" w:ascii="Times New Roman" w:hAnsi="Times New Roman" w:eastAsia="方正仿宋_GBK" w:cs="Times New Roman"/>
          <w:kern w:val="1"/>
          <w:sz w:val="32"/>
          <w:szCs w:val="32"/>
          <w:highlight w:val="none"/>
          <w:lang w:eastAsia="zh-CN"/>
        </w:rPr>
        <w:t>，</w:t>
      </w:r>
      <w:r>
        <w:rPr>
          <w:rFonts w:hint="default" w:ascii="Times New Roman" w:hAnsi="Times New Roman" w:eastAsia="方正仿宋_GBK" w:cs="Times New Roman"/>
          <w:kern w:val="1"/>
          <w:sz w:val="32"/>
          <w:szCs w:val="32"/>
          <w:highlight w:val="none"/>
        </w:rPr>
        <w:t>119.73万元减少</w:t>
      </w:r>
      <w:r>
        <w:rPr>
          <w:rFonts w:hint="default" w:ascii="Times New Roman" w:hAnsi="Times New Roman" w:eastAsia="方正仿宋_GBK" w:cs="Times New Roman"/>
          <w:kern w:val="1"/>
          <w:sz w:val="32"/>
          <w:szCs w:val="32"/>
          <w:highlight w:val="none"/>
          <w:lang w:val="en-US" w:eastAsia="zh-CN"/>
        </w:rPr>
        <w:t>138.56</w:t>
      </w:r>
      <w:r>
        <w:rPr>
          <w:rFonts w:hint="default" w:ascii="Times New Roman" w:hAnsi="Times New Roman" w:eastAsia="方正仿宋_GBK" w:cs="Times New Roman"/>
          <w:kern w:val="1"/>
          <w:sz w:val="32"/>
          <w:szCs w:val="32"/>
          <w:highlight w:val="none"/>
        </w:rPr>
        <w:t>万元，下降</w:t>
      </w:r>
      <w:r>
        <w:rPr>
          <w:rFonts w:hint="eastAsia" w:ascii="Times New Roman" w:hAnsi="Times New Roman" w:eastAsia="方正仿宋_GBK" w:cs="Times New Roman"/>
          <w:kern w:val="1"/>
          <w:sz w:val="32"/>
          <w:szCs w:val="32"/>
          <w:highlight w:val="none"/>
          <w:lang w:val="en-US" w:eastAsia="zh-CN"/>
        </w:rPr>
        <w:t>6.54</w:t>
      </w:r>
      <w:r>
        <w:rPr>
          <w:rFonts w:hint="default" w:ascii="Times New Roman" w:hAnsi="Times New Roman" w:eastAsia="方正仿宋_GBK" w:cs="Times New Roman"/>
          <w:kern w:val="1"/>
          <w:sz w:val="32"/>
          <w:szCs w:val="32"/>
          <w:highlight w:val="none"/>
        </w:rPr>
        <w:t>%。</w:t>
      </w:r>
    </w:p>
    <w:p w14:paraId="7AD821A7">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1"/>
        <w:rPr>
          <w:rFonts w:hint="default" w:ascii="Times New Roman" w:hAnsi="Times New Roman" w:eastAsia="方正楷体_GBK" w:cs="Times New Roman"/>
          <w:sz w:val="32"/>
          <w:szCs w:val="32"/>
          <w:highlight w:val="none"/>
          <w:shd w:val="clear" w:color="auto" w:fill="FFFFFF"/>
          <w:lang w:eastAsia="zh-CN"/>
        </w:rPr>
      </w:pPr>
      <w:bookmarkStart w:id="5" w:name="_Toc69718313"/>
      <w:r>
        <w:rPr>
          <w:rFonts w:hint="default" w:ascii="Times New Roman" w:hAnsi="Times New Roman" w:eastAsia="方正楷体_GBK" w:cs="Times New Roman"/>
          <w:sz w:val="32"/>
          <w:szCs w:val="32"/>
          <w:highlight w:val="none"/>
          <w:shd w:val="clear" w:color="auto" w:fill="FFFFFF"/>
          <w:lang w:eastAsia="zh-CN"/>
        </w:rPr>
        <w:t>（五）项目支出管理及使用情况</w:t>
      </w:r>
      <w:bookmarkEnd w:id="5"/>
    </w:p>
    <w:p w14:paraId="1C0F6155">
      <w:pPr>
        <w:pStyle w:val="23"/>
        <w:keepNext w:val="0"/>
        <w:keepLines w:val="0"/>
        <w:pageBreakBefore w:val="0"/>
        <w:kinsoku/>
        <w:wordWrap/>
        <w:overflowPunct/>
        <w:topLinePunct w:val="0"/>
        <w:bidi w:val="0"/>
        <w:spacing w:line="560" w:lineRule="exact"/>
        <w:ind w:firstLine="608"/>
        <w:textAlignment w:val="auto"/>
        <w:outlineLvl w:val="2"/>
        <w:rPr>
          <w:rFonts w:hint="default" w:ascii="Times New Roman" w:hAnsi="Times New Roman" w:eastAsia="方正仿宋_GBK" w:cs="Times New Roman"/>
          <w:color w:val="auto"/>
          <w:spacing w:val="-4"/>
          <w:kern w:val="2"/>
          <w:sz w:val="32"/>
          <w:szCs w:val="32"/>
          <w:highlight w:val="none"/>
        </w:rPr>
      </w:pPr>
      <w:r>
        <w:rPr>
          <w:rFonts w:hint="default" w:ascii="Times New Roman" w:hAnsi="Times New Roman" w:eastAsia="方正仿宋_GBK" w:cs="Times New Roman"/>
          <w:color w:val="auto"/>
          <w:spacing w:val="-4"/>
          <w:kern w:val="2"/>
          <w:sz w:val="32"/>
          <w:szCs w:val="32"/>
          <w:highlight w:val="none"/>
        </w:rPr>
        <w:t>1.专项资金安排落实、总投入等情况分</w:t>
      </w:r>
      <w:r>
        <w:rPr>
          <w:rFonts w:hint="default" w:ascii="Times New Roman" w:hAnsi="Times New Roman" w:eastAsia="方正仿宋_GBK" w:cs="Times New Roman"/>
          <w:color w:val="auto"/>
          <w:sz w:val="32"/>
          <w:szCs w:val="32"/>
          <w:highlight w:val="none"/>
        </w:rPr>
        <w:t>析</w:t>
      </w:r>
    </w:p>
    <w:p w14:paraId="72C89237">
      <w:pPr>
        <w:pStyle w:val="23"/>
        <w:keepNext w:val="0"/>
        <w:keepLines w:val="0"/>
        <w:pageBreakBefore w:val="0"/>
        <w:kinsoku/>
        <w:wordWrap/>
        <w:overflowPunct/>
        <w:topLinePunct w:val="0"/>
        <w:bidi w:val="0"/>
        <w:spacing w:line="560" w:lineRule="exact"/>
        <w:ind w:firstLine="624" w:firstLineChars="200"/>
        <w:textAlignment w:val="auto"/>
        <w:rPr>
          <w:rFonts w:hint="default" w:ascii="Times New Roman" w:hAnsi="Times New Roman" w:eastAsia="方正仿宋_GBK" w:cs="Times New Roman"/>
          <w:color w:val="auto"/>
          <w:spacing w:val="-4"/>
          <w:kern w:val="2"/>
          <w:sz w:val="32"/>
          <w:szCs w:val="32"/>
          <w:highlight w:val="none"/>
        </w:rPr>
      </w:pPr>
      <w:r>
        <w:rPr>
          <w:rFonts w:hint="default" w:ascii="Times New Roman" w:hAnsi="Times New Roman" w:eastAsia="方正仿宋_GBK" w:cs="Times New Roman"/>
          <w:color w:val="auto"/>
          <w:spacing w:val="-4"/>
          <w:kern w:val="2"/>
          <w:sz w:val="32"/>
          <w:szCs w:val="32"/>
          <w:highlight w:val="none"/>
        </w:rPr>
        <w:t>202</w:t>
      </w:r>
      <w:r>
        <w:rPr>
          <w:rFonts w:hint="eastAsia" w:ascii="Times New Roman" w:hAnsi="Times New Roman" w:eastAsia="方正仿宋_GBK" w:cs="Times New Roman"/>
          <w:color w:val="auto"/>
          <w:spacing w:val="-4"/>
          <w:kern w:val="2"/>
          <w:sz w:val="32"/>
          <w:szCs w:val="32"/>
          <w:highlight w:val="none"/>
          <w:lang w:val="en-US" w:eastAsia="zh-CN"/>
        </w:rPr>
        <w:t>5</w:t>
      </w:r>
      <w:r>
        <w:rPr>
          <w:rFonts w:hint="default" w:ascii="Times New Roman" w:hAnsi="Times New Roman" w:eastAsia="方正仿宋_GBK" w:cs="Times New Roman"/>
          <w:color w:val="auto"/>
          <w:spacing w:val="-4"/>
          <w:kern w:val="2"/>
          <w:sz w:val="32"/>
          <w:szCs w:val="32"/>
          <w:highlight w:val="none"/>
        </w:rPr>
        <w:t>年预算安排专项资金1,994,689.08万元，本年追加专项资金</w:t>
      </w:r>
      <w:r>
        <w:rPr>
          <w:rFonts w:hint="default" w:ascii="Times New Roman" w:hAnsi="Times New Roman" w:eastAsia="方正仿宋_GBK" w:cs="Times New Roman"/>
          <w:color w:val="auto"/>
          <w:spacing w:val="-4"/>
          <w:kern w:val="2"/>
          <w:sz w:val="32"/>
          <w:szCs w:val="32"/>
          <w:highlight w:val="none"/>
          <w:lang w:val="en-US" w:eastAsia="zh-CN"/>
        </w:rPr>
        <w:t>644,473.57</w:t>
      </w:r>
      <w:r>
        <w:rPr>
          <w:rFonts w:hint="default" w:ascii="Times New Roman" w:hAnsi="Times New Roman" w:eastAsia="方正仿宋_GBK" w:cs="Times New Roman"/>
          <w:color w:val="auto"/>
          <w:spacing w:val="-4"/>
          <w:kern w:val="2"/>
          <w:sz w:val="32"/>
          <w:szCs w:val="32"/>
          <w:highlight w:val="none"/>
        </w:rPr>
        <w:t>万元，202</w:t>
      </w:r>
      <w:r>
        <w:rPr>
          <w:rFonts w:hint="eastAsia" w:ascii="Times New Roman" w:hAnsi="Times New Roman" w:eastAsia="方正仿宋_GBK" w:cs="Times New Roman"/>
          <w:color w:val="auto"/>
          <w:spacing w:val="-4"/>
          <w:kern w:val="2"/>
          <w:sz w:val="32"/>
          <w:szCs w:val="32"/>
          <w:highlight w:val="none"/>
          <w:lang w:val="en-US" w:eastAsia="zh-CN"/>
        </w:rPr>
        <w:t>5</w:t>
      </w:r>
      <w:r>
        <w:rPr>
          <w:rFonts w:hint="default" w:ascii="Times New Roman" w:hAnsi="Times New Roman" w:eastAsia="方正仿宋_GBK" w:cs="Times New Roman"/>
          <w:color w:val="auto"/>
          <w:spacing w:val="-4"/>
          <w:kern w:val="2"/>
          <w:sz w:val="32"/>
          <w:szCs w:val="32"/>
          <w:highlight w:val="none"/>
        </w:rPr>
        <w:t>年专项资金总额2,639,162.65万元。追加的专项资金主要为中央安排的财政资金追加G3033奎屯-独山子-库车高速公路项目</w:t>
      </w:r>
      <w:r>
        <w:rPr>
          <w:rFonts w:hint="eastAsia" w:ascii="Times New Roman" w:hAnsi="Times New Roman" w:eastAsia="方正仿宋_GBK" w:cs="Times New Roman"/>
          <w:color w:val="auto"/>
          <w:spacing w:val="-4"/>
          <w:kern w:val="2"/>
          <w:sz w:val="32"/>
          <w:szCs w:val="32"/>
          <w:highlight w:val="none"/>
          <w:lang w:eastAsia="zh-CN"/>
        </w:rPr>
        <w:t>、</w:t>
      </w:r>
      <w:r>
        <w:rPr>
          <w:rFonts w:hint="default" w:ascii="Times New Roman" w:hAnsi="Times New Roman" w:eastAsia="方正仿宋_GBK" w:cs="Times New Roman"/>
          <w:color w:val="auto"/>
          <w:spacing w:val="-4"/>
          <w:kern w:val="2"/>
          <w:sz w:val="32"/>
          <w:szCs w:val="32"/>
          <w:highlight w:val="none"/>
        </w:rPr>
        <w:t>交通运输领域重点项目资金</w:t>
      </w:r>
      <w:r>
        <w:rPr>
          <w:rFonts w:hint="default" w:ascii="Times New Roman" w:hAnsi="Times New Roman" w:eastAsia="方正仿宋_GBK" w:cs="Times New Roman"/>
          <w:color w:val="auto"/>
          <w:spacing w:val="-4"/>
          <w:kern w:val="2"/>
          <w:sz w:val="32"/>
          <w:szCs w:val="32"/>
          <w:highlight w:val="none"/>
          <w:lang w:val="en-US" w:eastAsia="zh-CN"/>
        </w:rPr>
        <w:t>用于</w:t>
      </w:r>
      <w:r>
        <w:rPr>
          <w:rFonts w:hint="default" w:ascii="Times New Roman" w:hAnsi="Times New Roman" w:eastAsia="方正仿宋_GBK" w:cs="Times New Roman"/>
          <w:color w:val="auto"/>
          <w:spacing w:val="-4"/>
          <w:kern w:val="2"/>
          <w:sz w:val="32"/>
          <w:szCs w:val="32"/>
          <w:highlight w:val="none"/>
        </w:rPr>
        <w:t>路面修复养护工程、公路安全品质提升项目、三项工程项目，追加G680塔克什肯至恰库尔图(含G680-青河)公路建设项目</w:t>
      </w:r>
      <w:r>
        <w:rPr>
          <w:rFonts w:hint="eastAsia" w:ascii="Times New Roman" w:hAnsi="Times New Roman" w:eastAsia="方正仿宋_GBK" w:cs="Times New Roman"/>
          <w:color w:val="auto"/>
          <w:spacing w:val="-4"/>
          <w:kern w:val="2"/>
          <w:sz w:val="32"/>
          <w:szCs w:val="32"/>
          <w:highlight w:val="none"/>
          <w:lang w:eastAsia="zh-CN"/>
        </w:rPr>
        <w:t>、S225线和布克塞尔-和什托洛盖段改建工程、S317线托里老风口-裕民公路建设项目</w:t>
      </w:r>
      <w:r>
        <w:rPr>
          <w:rFonts w:hint="eastAsia" w:ascii="Times New Roman" w:hAnsi="Times New Roman" w:eastAsia="方正仿宋_GBK" w:cs="Times New Roman"/>
          <w:color w:val="auto"/>
          <w:spacing w:val="-4"/>
          <w:kern w:val="2"/>
          <w:sz w:val="32"/>
          <w:szCs w:val="32"/>
          <w:highlight w:val="none"/>
          <w:lang w:val="en-US" w:eastAsia="zh-CN"/>
        </w:rPr>
        <w:t>等</w:t>
      </w:r>
      <w:r>
        <w:rPr>
          <w:rFonts w:hint="default" w:ascii="Times New Roman" w:hAnsi="Times New Roman" w:eastAsia="方正仿宋_GBK" w:cs="Times New Roman"/>
          <w:color w:val="auto"/>
          <w:spacing w:val="-4"/>
          <w:kern w:val="2"/>
          <w:sz w:val="32"/>
          <w:szCs w:val="32"/>
          <w:highlight w:val="none"/>
        </w:rPr>
        <w:t>。</w:t>
      </w:r>
    </w:p>
    <w:p w14:paraId="4BA01AAF">
      <w:pPr>
        <w:pStyle w:val="23"/>
        <w:keepNext w:val="0"/>
        <w:keepLines w:val="0"/>
        <w:pageBreakBefore w:val="0"/>
        <w:kinsoku/>
        <w:wordWrap/>
        <w:overflowPunct/>
        <w:topLinePunct w:val="0"/>
        <w:bidi w:val="0"/>
        <w:spacing w:line="560" w:lineRule="exact"/>
        <w:ind w:firstLine="624" w:firstLineChars="200"/>
        <w:textAlignment w:val="auto"/>
        <w:outlineLvl w:val="2"/>
        <w:rPr>
          <w:rFonts w:hint="default" w:ascii="Times New Roman" w:hAnsi="Times New Roman" w:eastAsia="方正仿宋_GBK" w:cs="Times New Roman"/>
          <w:color w:val="auto"/>
          <w:spacing w:val="-4"/>
          <w:kern w:val="2"/>
          <w:sz w:val="32"/>
          <w:szCs w:val="32"/>
          <w:highlight w:val="none"/>
        </w:rPr>
      </w:pPr>
      <w:r>
        <w:rPr>
          <w:rFonts w:hint="default" w:ascii="Times New Roman" w:hAnsi="Times New Roman" w:eastAsia="方正仿宋_GBK" w:cs="Times New Roman"/>
          <w:color w:val="auto"/>
          <w:spacing w:val="-4"/>
          <w:kern w:val="2"/>
          <w:sz w:val="32"/>
          <w:szCs w:val="32"/>
          <w:highlight w:val="none"/>
        </w:rPr>
        <w:t>2.专项资金实际使用情况分析</w:t>
      </w:r>
    </w:p>
    <w:p w14:paraId="67E2FED8">
      <w:pPr>
        <w:pStyle w:val="9"/>
        <w:keepNext w:val="0"/>
        <w:keepLines w:val="0"/>
        <w:pageBreakBefore w:val="0"/>
        <w:widowControl/>
        <w:kinsoku/>
        <w:wordWrap/>
        <w:overflowPunct/>
        <w:topLinePunct w:val="0"/>
        <w:bidi w:val="0"/>
        <w:spacing w:beforeAutospacing="0" w:afterAutospacing="0" w:line="560" w:lineRule="exact"/>
        <w:ind w:firstLine="678" w:firstLineChars="212"/>
        <w:jc w:val="both"/>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202</w:t>
      </w:r>
      <w:r>
        <w:rPr>
          <w:rFonts w:hint="eastAsia"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rPr>
        <w:t>年专项资金实际支出</w:t>
      </w:r>
      <w:r>
        <w:rPr>
          <w:rFonts w:hint="default" w:ascii="Times New Roman" w:hAnsi="Times New Roman" w:eastAsia="方正仿宋_GBK" w:cs="Times New Roman"/>
          <w:kern w:val="1"/>
          <w:sz w:val="32"/>
          <w:szCs w:val="32"/>
          <w:highlight w:val="none"/>
        </w:rPr>
        <w:t>1,810,103.73</w:t>
      </w:r>
      <w:r>
        <w:rPr>
          <w:rFonts w:hint="default" w:ascii="Times New Roman" w:hAnsi="Times New Roman" w:eastAsia="方正仿宋_GBK" w:cs="Times New Roman"/>
          <w:sz w:val="32"/>
          <w:szCs w:val="32"/>
          <w:highlight w:val="none"/>
        </w:rPr>
        <w:t>万元，执行率为</w:t>
      </w:r>
      <w:r>
        <w:rPr>
          <w:rFonts w:hint="eastAsia" w:ascii="Times New Roman" w:hAnsi="Times New Roman" w:eastAsia="方正仿宋_GBK" w:cs="Times New Roman"/>
          <w:sz w:val="32"/>
          <w:szCs w:val="32"/>
          <w:highlight w:val="none"/>
          <w:lang w:val="en-US" w:eastAsia="zh-CN"/>
        </w:rPr>
        <w:t>68.59</w:t>
      </w:r>
      <w:r>
        <w:rPr>
          <w:rFonts w:hint="default" w:ascii="Times New Roman" w:hAnsi="Times New Roman" w:eastAsia="方正仿宋_GBK" w:cs="Times New Roman"/>
          <w:sz w:val="32"/>
          <w:szCs w:val="32"/>
          <w:highlight w:val="none"/>
        </w:rPr>
        <w:t>%。专项资金用于</w:t>
      </w:r>
      <w:r>
        <w:rPr>
          <w:rFonts w:hint="default" w:ascii="Times New Roman" w:hAnsi="Times New Roman" w:eastAsia="方正仿宋_GBK" w:cs="Times New Roman"/>
          <w:kern w:val="1"/>
          <w:sz w:val="32"/>
          <w:szCs w:val="32"/>
          <w:highlight w:val="none"/>
        </w:rPr>
        <w:t>交通战备62</w:t>
      </w:r>
      <w:r>
        <w:rPr>
          <w:rFonts w:hint="eastAsia" w:ascii="Times New Roman" w:hAnsi="Times New Roman" w:eastAsia="方正仿宋_GBK" w:cs="Times New Roman"/>
          <w:kern w:val="1"/>
          <w:sz w:val="32"/>
          <w:szCs w:val="32"/>
          <w:highlight w:val="none"/>
          <w:lang w:val="en-US" w:eastAsia="zh-CN"/>
        </w:rPr>
        <w:t>.00</w:t>
      </w:r>
      <w:r>
        <w:rPr>
          <w:rFonts w:hint="default" w:ascii="Times New Roman" w:hAnsi="Times New Roman" w:eastAsia="方正仿宋_GBK" w:cs="Times New Roman"/>
          <w:sz w:val="32"/>
          <w:szCs w:val="32"/>
          <w:highlight w:val="none"/>
        </w:rPr>
        <w:t>万元，其他企业改革发展补助96.09万元，一般行政管理事务2,517.16万元，机关服务425.77</w:t>
      </w:r>
      <w:r>
        <w:rPr>
          <w:rFonts w:hint="default" w:ascii="Times New Roman" w:hAnsi="Times New Roman" w:eastAsia="方正仿宋_GBK" w:cs="Times New Roman"/>
          <w:sz w:val="32"/>
          <w:szCs w:val="32"/>
          <w:highlight w:val="none"/>
          <w:lang w:val="en-US" w:eastAsia="zh-CN"/>
        </w:rPr>
        <w:t>万元</w:t>
      </w:r>
      <w:r>
        <w:rPr>
          <w:rFonts w:hint="default" w:ascii="Times New Roman" w:hAnsi="Times New Roman" w:eastAsia="方正仿宋_GBK" w:cs="Times New Roman"/>
          <w:sz w:val="32"/>
          <w:szCs w:val="32"/>
          <w:highlight w:val="none"/>
        </w:rPr>
        <w:t>，公路建设1,311,449.22万元，公路养护146,740.58万元，交通运输信息化建设1,447.90</w:t>
      </w:r>
      <w:r>
        <w:rPr>
          <w:rFonts w:hint="default" w:ascii="Times New Roman" w:hAnsi="Times New Roman" w:eastAsia="方正仿宋_GBK" w:cs="Times New Roman"/>
          <w:sz w:val="32"/>
          <w:szCs w:val="32"/>
          <w:highlight w:val="none"/>
          <w:lang w:val="en-US" w:eastAsia="zh-CN"/>
        </w:rPr>
        <w:t>万元</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公路运输管理10,417.00万元， 其他公路水路运输支出113,597.64万元，政府收费公路专项债券收入安排的公路建设</w:t>
      </w:r>
      <w:r>
        <w:rPr>
          <w:rFonts w:hint="eastAsia" w:ascii="Times New Roman" w:hAnsi="Times New Roman" w:eastAsia="方正仿宋_GBK" w:cs="Times New Roman"/>
          <w:sz w:val="32"/>
          <w:szCs w:val="32"/>
          <w:highlight w:val="none"/>
          <w:lang w:val="en-US" w:eastAsia="zh-CN"/>
        </w:rPr>
        <w:t>支出153,345.38</w:t>
      </w:r>
      <w:r>
        <w:rPr>
          <w:rFonts w:hint="default" w:ascii="Times New Roman" w:hAnsi="Times New Roman" w:eastAsia="方正仿宋_GBK" w:cs="Times New Roman"/>
          <w:sz w:val="32"/>
          <w:szCs w:val="32"/>
          <w:highlight w:val="none"/>
          <w:lang w:val="en-US" w:eastAsia="zh-CN"/>
        </w:rPr>
        <w:t>万元，超长期特别国债安排的公路水路运输支出70,000.00万元，灾害防治及应急管理支出5.00万元</w:t>
      </w:r>
      <w:r>
        <w:rPr>
          <w:rFonts w:hint="default" w:ascii="Times New Roman" w:hAnsi="Times New Roman" w:eastAsia="方正仿宋_GBK" w:cs="Times New Roman"/>
          <w:sz w:val="32"/>
          <w:szCs w:val="32"/>
          <w:highlight w:val="none"/>
        </w:rPr>
        <w:t>。</w:t>
      </w:r>
    </w:p>
    <w:p w14:paraId="74192D53">
      <w:pPr>
        <w:pStyle w:val="23"/>
        <w:keepNext w:val="0"/>
        <w:keepLines w:val="0"/>
        <w:pageBreakBefore w:val="0"/>
        <w:kinsoku/>
        <w:wordWrap/>
        <w:overflowPunct/>
        <w:topLinePunct w:val="0"/>
        <w:bidi w:val="0"/>
        <w:spacing w:line="560" w:lineRule="exact"/>
        <w:ind w:firstLine="608"/>
        <w:textAlignment w:val="auto"/>
        <w:outlineLvl w:val="2"/>
        <w:rPr>
          <w:rFonts w:hint="default" w:ascii="Times New Roman" w:hAnsi="Times New Roman" w:eastAsia="方正仿宋_GBK" w:cs="Times New Roman"/>
          <w:color w:val="auto"/>
          <w:spacing w:val="-4"/>
          <w:kern w:val="2"/>
          <w:sz w:val="32"/>
          <w:szCs w:val="32"/>
          <w:highlight w:val="none"/>
        </w:rPr>
      </w:pPr>
      <w:r>
        <w:rPr>
          <w:rFonts w:hint="default" w:ascii="Times New Roman" w:hAnsi="Times New Roman" w:eastAsia="方正仿宋_GBK" w:cs="Times New Roman"/>
          <w:color w:val="auto"/>
          <w:spacing w:val="-4"/>
          <w:kern w:val="2"/>
          <w:sz w:val="32"/>
          <w:szCs w:val="32"/>
          <w:highlight w:val="none"/>
        </w:rPr>
        <w:t>3.专项资金管理情况分析</w:t>
      </w:r>
    </w:p>
    <w:p w14:paraId="75F2DB10">
      <w:pPr>
        <w:pStyle w:val="23"/>
        <w:keepNext w:val="0"/>
        <w:keepLines w:val="0"/>
        <w:pageBreakBefore w:val="0"/>
        <w:kinsoku/>
        <w:wordWrap/>
        <w:overflowPunct/>
        <w:topLinePunct w:val="0"/>
        <w:bidi w:val="0"/>
        <w:spacing w:line="560" w:lineRule="exact"/>
        <w:ind w:firstLine="624" w:firstLineChars="200"/>
        <w:textAlignment w:val="auto"/>
        <w:rPr>
          <w:rFonts w:hint="default" w:ascii="Times New Roman" w:hAnsi="Times New Roman" w:eastAsia="方正仿宋_GBK" w:cs="Times New Roman"/>
          <w:color w:val="auto"/>
          <w:spacing w:val="-4"/>
          <w:kern w:val="2"/>
          <w:sz w:val="32"/>
          <w:szCs w:val="32"/>
          <w:highlight w:val="none"/>
        </w:rPr>
      </w:pPr>
      <w:r>
        <w:rPr>
          <w:rFonts w:hint="default" w:ascii="Times New Roman" w:hAnsi="Times New Roman" w:eastAsia="方正仿宋_GBK" w:cs="Times New Roman"/>
          <w:color w:val="auto"/>
          <w:spacing w:val="-4"/>
          <w:kern w:val="2"/>
          <w:sz w:val="32"/>
          <w:szCs w:val="32"/>
          <w:highlight w:val="none"/>
        </w:rPr>
        <w:t>专项资金根据《中华人民共和国预算法》和《中共中央 国务院关于全面实施预算绩效管理的意见》，预算管理、项目支出绩效评价管理办法、财政国库管理制度等有关规定进行使用和管理，切实履行在资金申请、资金分配、资金使用、监督检查等方面的管理职责，加强对预算单位专项资金的管理，建立常态化的自查自纠机制，提高财政资源配置效率和使用效益。</w:t>
      </w:r>
    </w:p>
    <w:p w14:paraId="25918D3E">
      <w:pPr>
        <w:pStyle w:val="23"/>
        <w:keepNext w:val="0"/>
        <w:keepLines w:val="0"/>
        <w:pageBreakBefore w:val="0"/>
        <w:numPr>
          <w:ilvl w:val="0"/>
          <w:numId w:val="1"/>
        </w:numPr>
        <w:kinsoku/>
        <w:wordWrap/>
        <w:overflowPunct/>
        <w:topLinePunct w:val="0"/>
        <w:bidi w:val="0"/>
        <w:spacing w:line="560" w:lineRule="exact"/>
        <w:ind w:firstLine="624" w:firstLineChars="200"/>
        <w:textAlignment w:val="auto"/>
        <w:rPr>
          <w:rFonts w:hint="default" w:ascii="Times New Roman" w:hAnsi="Times New Roman" w:eastAsia="方正仿宋_GBK" w:cs="Times New Roman"/>
          <w:color w:val="auto"/>
          <w:spacing w:val="-4"/>
          <w:kern w:val="2"/>
          <w:sz w:val="32"/>
          <w:szCs w:val="32"/>
          <w:highlight w:val="none"/>
        </w:rPr>
      </w:pPr>
      <w:r>
        <w:rPr>
          <w:rFonts w:hint="default" w:ascii="Times New Roman" w:hAnsi="Times New Roman" w:eastAsia="方正仿宋_GBK" w:cs="Times New Roman"/>
          <w:color w:val="auto"/>
          <w:spacing w:val="-4"/>
          <w:kern w:val="2"/>
          <w:sz w:val="32"/>
          <w:szCs w:val="32"/>
          <w:highlight w:val="none"/>
        </w:rPr>
        <w:t>专项资金支付按照国库集中支付制度有关规定执行，涉及政府采购的，按照政府采购有关法律制度执行。</w:t>
      </w:r>
    </w:p>
    <w:p w14:paraId="26561851">
      <w:pPr>
        <w:pStyle w:val="23"/>
        <w:keepNext w:val="0"/>
        <w:keepLines w:val="0"/>
        <w:pageBreakBefore w:val="0"/>
        <w:numPr>
          <w:ilvl w:val="0"/>
          <w:numId w:val="1"/>
        </w:numPr>
        <w:kinsoku/>
        <w:wordWrap/>
        <w:overflowPunct/>
        <w:topLinePunct w:val="0"/>
        <w:bidi w:val="0"/>
        <w:spacing w:line="560" w:lineRule="exact"/>
        <w:ind w:firstLine="624" w:firstLineChars="200"/>
        <w:textAlignment w:val="auto"/>
        <w:rPr>
          <w:rFonts w:hint="default" w:ascii="Times New Roman" w:hAnsi="Times New Roman" w:eastAsia="方正仿宋_GBK" w:cs="Times New Roman"/>
          <w:color w:val="auto"/>
          <w:spacing w:val="-4"/>
          <w:kern w:val="2"/>
          <w:sz w:val="32"/>
          <w:szCs w:val="32"/>
          <w:highlight w:val="none"/>
        </w:rPr>
      </w:pPr>
      <w:r>
        <w:rPr>
          <w:rFonts w:hint="default" w:ascii="Times New Roman" w:hAnsi="Times New Roman" w:eastAsia="方正仿宋_GBK" w:cs="Times New Roman"/>
          <w:color w:val="auto"/>
          <w:spacing w:val="-4"/>
          <w:kern w:val="2"/>
          <w:sz w:val="32"/>
          <w:szCs w:val="32"/>
          <w:highlight w:val="none"/>
        </w:rPr>
        <w:t>专项资金购置形成的固定资产属于国有资产的，按照国家国有资产管理有关规定管理，防止国有资产流失。</w:t>
      </w:r>
    </w:p>
    <w:p w14:paraId="3409DC23">
      <w:pPr>
        <w:pStyle w:val="23"/>
        <w:keepNext w:val="0"/>
        <w:keepLines w:val="0"/>
        <w:pageBreakBefore w:val="0"/>
        <w:numPr>
          <w:ilvl w:val="0"/>
          <w:numId w:val="1"/>
        </w:numPr>
        <w:kinsoku/>
        <w:wordWrap/>
        <w:overflowPunct/>
        <w:topLinePunct w:val="0"/>
        <w:bidi w:val="0"/>
        <w:spacing w:line="560" w:lineRule="exact"/>
        <w:ind w:firstLine="624" w:firstLineChars="200"/>
        <w:textAlignment w:val="auto"/>
        <w:rPr>
          <w:rFonts w:hint="default" w:ascii="Times New Roman" w:hAnsi="Times New Roman" w:eastAsia="方正仿宋_GBK" w:cs="Times New Roman"/>
          <w:color w:val="auto"/>
          <w:spacing w:val="-4"/>
          <w:kern w:val="2"/>
          <w:sz w:val="32"/>
          <w:szCs w:val="32"/>
          <w:highlight w:val="none"/>
        </w:rPr>
      </w:pPr>
      <w:r>
        <w:rPr>
          <w:rFonts w:hint="default" w:ascii="Times New Roman" w:hAnsi="Times New Roman" w:eastAsia="方正仿宋_GBK" w:cs="Times New Roman"/>
          <w:color w:val="auto"/>
          <w:spacing w:val="-4"/>
          <w:kern w:val="2"/>
          <w:sz w:val="32"/>
          <w:szCs w:val="32"/>
          <w:highlight w:val="none"/>
        </w:rPr>
        <w:t>加强统筹协调，合理申请专项资金，督促各项目承担单位严格执行项目预算。年度未支出的专项资金，按照财政部对结转结余资金管理的有关规定进行管理。</w:t>
      </w:r>
    </w:p>
    <w:p w14:paraId="432FD3D2">
      <w:pPr>
        <w:pStyle w:val="23"/>
        <w:keepNext w:val="0"/>
        <w:keepLines w:val="0"/>
        <w:pageBreakBefore w:val="0"/>
        <w:numPr>
          <w:ilvl w:val="0"/>
          <w:numId w:val="1"/>
        </w:numPr>
        <w:kinsoku/>
        <w:wordWrap/>
        <w:overflowPunct/>
        <w:topLinePunct w:val="0"/>
        <w:bidi w:val="0"/>
        <w:spacing w:line="560" w:lineRule="exact"/>
        <w:ind w:firstLine="624" w:firstLineChars="200"/>
        <w:textAlignment w:val="auto"/>
        <w:rPr>
          <w:rFonts w:hint="default" w:ascii="Times New Roman" w:hAnsi="Times New Roman" w:eastAsia="方正仿宋_GBK" w:cs="Times New Roman"/>
          <w:color w:val="auto"/>
          <w:spacing w:val="-4"/>
          <w:kern w:val="2"/>
          <w:sz w:val="32"/>
          <w:szCs w:val="32"/>
          <w:highlight w:val="none"/>
        </w:rPr>
      </w:pPr>
      <w:r>
        <w:rPr>
          <w:rFonts w:hint="default" w:ascii="Times New Roman" w:hAnsi="Times New Roman" w:eastAsia="方正仿宋_GBK" w:cs="Times New Roman"/>
          <w:color w:val="auto"/>
          <w:spacing w:val="-4"/>
          <w:kern w:val="2"/>
          <w:sz w:val="32"/>
          <w:szCs w:val="32"/>
          <w:highlight w:val="none"/>
        </w:rPr>
        <w:t>专项资金专款专用，严禁将专项资金用于偿还债务、支付利息、对外投资、弥补其他项目资金缺口等，不得从专项资金中提取工作经费或管理经费。对于挤占、挪用、虚列、套取专项资金等行为，按照有关规定严肃处理。</w:t>
      </w:r>
    </w:p>
    <w:p w14:paraId="2A876EEC">
      <w:pPr>
        <w:pStyle w:val="23"/>
        <w:keepNext w:val="0"/>
        <w:keepLines w:val="0"/>
        <w:pageBreakBefore w:val="0"/>
        <w:numPr>
          <w:ilvl w:val="0"/>
          <w:numId w:val="1"/>
        </w:numPr>
        <w:kinsoku/>
        <w:wordWrap/>
        <w:overflowPunct/>
        <w:topLinePunct w:val="0"/>
        <w:bidi w:val="0"/>
        <w:spacing w:line="560" w:lineRule="exact"/>
        <w:ind w:firstLine="624" w:firstLineChars="200"/>
        <w:textAlignment w:val="auto"/>
        <w:rPr>
          <w:rFonts w:hint="default" w:ascii="Times New Roman" w:hAnsi="Times New Roman" w:eastAsia="方正仿宋_GBK" w:cs="Times New Roman"/>
          <w:color w:val="auto"/>
          <w:spacing w:val="-4"/>
          <w:kern w:val="2"/>
          <w:sz w:val="32"/>
          <w:szCs w:val="32"/>
          <w:highlight w:val="none"/>
        </w:rPr>
      </w:pPr>
      <w:r>
        <w:rPr>
          <w:rFonts w:hint="default" w:ascii="Times New Roman" w:hAnsi="Times New Roman" w:eastAsia="方正仿宋_GBK" w:cs="Times New Roman"/>
          <w:color w:val="auto"/>
          <w:spacing w:val="-4"/>
          <w:kern w:val="2"/>
          <w:sz w:val="32"/>
          <w:szCs w:val="32"/>
          <w:highlight w:val="none"/>
        </w:rPr>
        <w:t>严格遵守国家财政财务制度和财经纪律，规范和加强内部管理，自觉接受财政、审计、监察及主管部门的监督检查。</w:t>
      </w:r>
    </w:p>
    <w:p w14:paraId="39A530F5">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1"/>
        <w:rPr>
          <w:rFonts w:hint="default" w:ascii="Times New Roman" w:hAnsi="Times New Roman" w:eastAsia="方正楷体_GBK" w:cs="Times New Roman"/>
          <w:sz w:val="32"/>
          <w:szCs w:val="32"/>
          <w:highlight w:val="none"/>
          <w:shd w:val="clear" w:color="auto" w:fill="FFFFFF"/>
          <w:lang w:eastAsia="zh-CN"/>
        </w:rPr>
      </w:pPr>
      <w:bookmarkStart w:id="6" w:name="_Toc69718315"/>
      <w:r>
        <w:rPr>
          <w:rFonts w:hint="default" w:ascii="Times New Roman" w:hAnsi="Times New Roman" w:eastAsia="方正楷体_GBK" w:cs="Times New Roman"/>
          <w:sz w:val="32"/>
          <w:szCs w:val="32"/>
          <w:highlight w:val="none"/>
          <w:shd w:val="clear" w:color="auto" w:fill="FFFFFF"/>
          <w:lang w:eastAsia="zh-CN"/>
        </w:rPr>
        <w:t>（</w:t>
      </w:r>
      <w:r>
        <w:rPr>
          <w:rFonts w:hint="default" w:ascii="Times New Roman" w:hAnsi="Times New Roman" w:eastAsia="方正楷体_GBK" w:cs="Times New Roman"/>
          <w:sz w:val="32"/>
          <w:szCs w:val="32"/>
          <w:highlight w:val="none"/>
          <w:shd w:val="clear" w:color="auto" w:fill="FFFFFF"/>
          <w:lang w:val="en-US" w:eastAsia="zh-CN"/>
        </w:rPr>
        <w:t>六</w:t>
      </w:r>
      <w:r>
        <w:rPr>
          <w:rFonts w:hint="default" w:ascii="Times New Roman" w:hAnsi="Times New Roman" w:eastAsia="方正楷体_GBK" w:cs="Times New Roman"/>
          <w:sz w:val="32"/>
          <w:szCs w:val="32"/>
          <w:highlight w:val="none"/>
          <w:shd w:val="clear" w:color="auto" w:fill="FFFFFF"/>
          <w:lang w:eastAsia="zh-CN"/>
        </w:rPr>
        <w:t>）部门单位专项组织实施情况</w:t>
      </w:r>
      <w:bookmarkEnd w:id="6"/>
    </w:p>
    <w:p w14:paraId="0260B049">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1"/>
        <w:rPr>
          <w:rFonts w:hint="default" w:ascii="Times New Roman" w:hAnsi="Times New Roman" w:eastAsia="方正楷体_GBK" w:cs="Times New Roman"/>
          <w:sz w:val="32"/>
          <w:szCs w:val="32"/>
          <w:highlight w:val="none"/>
          <w:shd w:val="clear" w:color="auto" w:fill="FFFFFF"/>
          <w:lang w:eastAsia="zh-CN"/>
        </w:rPr>
      </w:pPr>
      <w:bookmarkStart w:id="7" w:name="_Toc69718316"/>
      <w:r>
        <w:rPr>
          <w:rFonts w:hint="default" w:ascii="Times New Roman" w:hAnsi="Times New Roman" w:eastAsia="方正楷体_GBK" w:cs="Times New Roman"/>
          <w:sz w:val="32"/>
          <w:szCs w:val="32"/>
          <w:highlight w:val="none"/>
          <w:shd w:val="clear" w:color="auto" w:fill="FFFFFF"/>
          <w:lang w:val="en-US" w:eastAsia="zh-CN"/>
        </w:rPr>
        <w:t>1.</w:t>
      </w:r>
      <w:r>
        <w:rPr>
          <w:rFonts w:hint="default" w:ascii="Times New Roman" w:hAnsi="Times New Roman" w:eastAsia="方正楷体_GBK" w:cs="Times New Roman"/>
          <w:sz w:val="32"/>
          <w:szCs w:val="32"/>
          <w:highlight w:val="none"/>
          <w:shd w:val="clear" w:color="auto" w:fill="FFFFFF"/>
          <w:lang w:eastAsia="zh-CN"/>
        </w:rPr>
        <w:t>专项组织情况分析</w:t>
      </w:r>
      <w:bookmarkEnd w:id="7"/>
    </w:p>
    <w:p w14:paraId="74D19940">
      <w:pPr>
        <w:keepNext w:val="0"/>
        <w:keepLines w:val="0"/>
        <w:pageBreakBefore w:val="0"/>
        <w:kinsoku/>
        <w:wordWrap/>
        <w:overflowPunct/>
        <w:topLinePunct w:val="0"/>
        <w:bidi w:val="0"/>
        <w:spacing w:line="560" w:lineRule="exact"/>
        <w:ind w:firstLine="681" w:firstLineChars="213"/>
        <w:jc w:val="left"/>
        <w:textAlignment w:val="auto"/>
        <w:rPr>
          <w:rFonts w:hint="default" w:ascii="Times New Roman" w:hAnsi="Times New Roman" w:eastAsia="方正仿宋_GBK" w:cs="Times New Roman"/>
          <w:kern w:val="1"/>
          <w:sz w:val="32"/>
          <w:szCs w:val="32"/>
          <w:highlight w:val="none"/>
        </w:rPr>
      </w:pPr>
      <w:r>
        <w:rPr>
          <w:rFonts w:hint="default" w:ascii="Times New Roman" w:hAnsi="Times New Roman" w:eastAsia="方正仿宋_GBK" w:cs="Times New Roman"/>
          <w:kern w:val="1"/>
          <w:sz w:val="32"/>
          <w:szCs w:val="32"/>
          <w:highlight w:val="none"/>
          <w:lang w:eastAsia="zh-CN"/>
        </w:rPr>
        <w:t>（</w:t>
      </w:r>
      <w:r>
        <w:rPr>
          <w:rFonts w:hint="default" w:ascii="Times New Roman" w:hAnsi="Times New Roman" w:eastAsia="方正仿宋_GBK" w:cs="Times New Roman"/>
          <w:kern w:val="1"/>
          <w:sz w:val="32"/>
          <w:szCs w:val="32"/>
          <w:highlight w:val="none"/>
          <w:lang w:val="en-US" w:eastAsia="zh-CN"/>
        </w:rPr>
        <w:t>1</w:t>
      </w:r>
      <w:r>
        <w:rPr>
          <w:rFonts w:hint="default" w:ascii="Times New Roman" w:hAnsi="Times New Roman" w:eastAsia="方正仿宋_GBK" w:cs="Times New Roman"/>
          <w:kern w:val="1"/>
          <w:sz w:val="32"/>
          <w:szCs w:val="32"/>
          <w:highlight w:val="none"/>
          <w:lang w:eastAsia="zh-CN"/>
        </w:rPr>
        <w:t>）</w:t>
      </w:r>
      <w:r>
        <w:rPr>
          <w:rFonts w:hint="default" w:ascii="Times New Roman" w:hAnsi="Times New Roman" w:eastAsia="方正仿宋_GBK" w:cs="Times New Roman"/>
          <w:kern w:val="1"/>
          <w:sz w:val="32"/>
          <w:szCs w:val="32"/>
          <w:highlight w:val="none"/>
        </w:rPr>
        <w:t>前期准备</w:t>
      </w:r>
    </w:p>
    <w:p w14:paraId="6BFD3F82">
      <w:pPr>
        <w:keepNext w:val="0"/>
        <w:keepLines w:val="0"/>
        <w:pageBreakBefore w:val="0"/>
        <w:kinsoku/>
        <w:wordWrap/>
        <w:overflowPunct/>
        <w:topLinePunct w:val="0"/>
        <w:bidi w:val="0"/>
        <w:spacing w:line="560" w:lineRule="exact"/>
        <w:ind w:firstLine="640" w:firstLineChars="200"/>
        <w:textAlignment w:val="auto"/>
        <w:rPr>
          <w:rFonts w:hint="default" w:ascii="Times New Roman" w:hAnsi="Times New Roman" w:eastAsia="方正仿宋_GBK" w:cs="Times New Roman"/>
          <w:spacing w:val="-4"/>
          <w:sz w:val="32"/>
          <w:szCs w:val="32"/>
          <w:highlight w:val="none"/>
        </w:rPr>
      </w:pPr>
      <w:r>
        <w:rPr>
          <w:rFonts w:hint="default" w:ascii="Times New Roman" w:hAnsi="Times New Roman" w:eastAsia="方正仿宋_GBK" w:cs="Times New Roman"/>
          <w:vanish/>
          <w:sz w:val="32"/>
          <w:szCs w:val="32"/>
          <w:highlight w:val="none"/>
        </w:rPr>
        <mc:AlternateContent>
          <mc:Choice Requires="wps">
            <w:drawing>
              <wp:anchor distT="0" distB="0" distL="114300" distR="114300" simplePos="0" relativeHeight="251661312" behindDoc="0" locked="0" layoutInCell="1" allowOverlap="1">
                <wp:simplePos x="0" y="0"/>
                <wp:positionH relativeFrom="column">
                  <wp:posOffset>-64135</wp:posOffset>
                </wp:positionH>
                <wp:positionV relativeFrom="paragraph">
                  <wp:posOffset>127000</wp:posOffset>
                </wp:positionV>
                <wp:extent cx="5529580" cy="0"/>
                <wp:effectExtent l="0" t="13970" r="7620" b="24130"/>
                <wp:wrapNone/>
                <wp:docPr id="1" name="直接连接符 1"/>
                <wp:cNvGraphicFramePr/>
                <a:graphic xmlns:a="http://schemas.openxmlformats.org/drawingml/2006/main">
                  <a:graphicData uri="http://schemas.microsoft.com/office/word/2010/wordprocessingShape">
                    <wps:wsp>
                      <wps:cNvCnPr/>
                      <wps:spPr>
                        <a:xfrm>
                          <a:off x="0" y="0"/>
                          <a:ext cx="5529580" cy="0"/>
                        </a:xfrm>
                        <a:prstGeom prst="line">
                          <a:avLst/>
                        </a:prstGeom>
                        <a:ln w="28575"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05pt;margin-top:10pt;height:0pt;width:435.4pt;z-index:251661312;mso-width-relative:page;mso-height-relative:page;" filled="f" stroked="t" coordsize="21600,21600" o:gfxdata="UEsDBAoAAAAAAIdO4kAAAAAAAAAAAAAAAAAEAAAAZHJzL1BLAwQUAAAACACHTuJAMtozqdUAAAAJ&#10;AQAADwAAAGRycy9kb3ducmV2LnhtbE2PTU/DMAyG70j8h8hI3LakO4yqNJ0GghsSonzsmjVeU61x&#10;qibrun+PEQc42n70vo/Lzex7MeEYu0AasqUCgdQE21Gr4eP9eZGDiMmQNX0g1HDBCJvq+qo0hQ1n&#10;esOpTq3gEIqF0eBSGgopY+PQm7gMAxLfDmH0JvE4ttKO5szhvpcrpdbSm464wZkBHx02x/rkNcxf&#10;+dbtXtLDU/h8dcd5V/tpddH69iZT9yASzukPhh99VoeKnfbhRDaKXsMiUxmjGrgGBAP5Wt2B2P8u&#10;ZFXK/x9U31BLAwQUAAAACACHTuJAeHol1fcBAADlAwAADgAAAGRycy9lMm9Eb2MueG1srVPNjtMw&#10;EL4j8Q6W7zRtpUKJmu5hS7kgqAQ8wNRxEkv+k8dt2pfgBZC4wYkjd96G3cdg7HS7sHvpYXNwxp7x&#10;N/N9M15cHYxmexlQOVvxyWjMmbTC1cq2Ff/8af1izhlGsDVoZ2XFjxL51fL5s0XvSzl1ndO1DIxA&#10;LJa9r3gXoy+LAkUnDeDIeWnJ2bhgINI2tEUdoCd0o4vpePyy6F2ofXBCItLpanDyE2K4BNA1jRJy&#10;5cTOSBsH1CA1RKKEnfLIl7nappEifmgalJHpihPTmFdKQvY2rcVyAWUbwHdKnEqAS0p4wMmAspT0&#10;DLWCCGwX1CMoo0Rw6Jo4Es4UA5GsCLGYjB9o87EDLzMXkhr9WXR8Oljxfr8JTNU0CZxZMNTwm6+/&#10;/nz5fvv7G603P3+wSRKp91hS7LXdhNMO/SYkxocmmPQnLuyQhT2ehZWHyAQdzmbT17M5aS7ufMX9&#10;RR8wvpXOsGRUXCubOEMJ+3cYKRmF3oWkY21ZX/HpfPZqRnhAE9hQ58k0nligbfNldFrVa6V1uoKh&#10;3V7rwPZAU7Bej+lLnAj4v7CUZQXYDXHZNcxHJ6F+Y2sWj570sfQseKrByJozLekVJYsAoYyg9CWR&#10;lFpbqiDJOgiZrK2rj9SNnQ+q7UiKrHyOoe7nek+Tmsbr331Gun+dy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y2jOp1QAAAAkBAAAPAAAAAAAAAAEAIAAAACIAAABkcnMvZG93bnJldi54bWxQSwEC&#10;FAAUAAAACACHTuJAeHol1fcBAADlAwAADgAAAAAAAAABACAAAAAkAQAAZHJzL2Uyb0RvYy54bWxQ&#10;SwUGAAAAAAYABgBZAQAAjQUAAAAA&#10;">
                <v:fill on="f" focussize="0,0"/>
                <v:stroke weight="2.25pt" color="#FF0000" joinstyle="round"/>
                <v:imagedata o:title=""/>
                <o:lock v:ext="edit" aspectratio="f"/>
              </v:line>
            </w:pict>
          </mc:Fallback>
        </mc:AlternateContent>
      </w:r>
      <w:r>
        <w:rPr>
          <w:rFonts w:hint="default" w:ascii="Times New Roman" w:hAnsi="Times New Roman" w:eastAsia="方正仿宋_GBK" w:cs="Times New Roman"/>
          <w:sz w:val="32"/>
          <w:szCs w:val="32"/>
          <w:highlight w:val="none"/>
        </w:rPr>
        <w:t>按照全方位、全过程、全覆盖预算绩效管理要求，将交通运输厅所属各预算单位整体支出预算纳入全过程绩效管理，进一步强化绩效理念，提高财政资金使用效益。建立健全绩效评价机制，推进预算绩效管理制度化、规范化。</w:t>
      </w:r>
      <w:r>
        <w:rPr>
          <w:rFonts w:hint="default" w:ascii="Times New Roman" w:hAnsi="Times New Roman" w:eastAsia="方正仿宋_GBK" w:cs="Times New Roman"/>
          <w:spacing w:val="-4"/>
          <w:sz w:val="32"/>
          <w:szCs w:val="32"/>
          <w:highlight w:val="none"/>
        </w:rPr>
        <w:t>收集项目背景、中长期工作规划、单位职责、组织构成及其职能、预算编制等资料，梳理202</w:t>
      </w:r>
      <w:r>
        <w:rPr>
          <w:rFonts w:hint="eastAsia" w:ascii="Times New Roman" w:hAnsi="Times New Roman" w:eastAsia="方正仿宋_GBK" w:cs="Times New Roman"/>
          <w:spacing w:val="-4"/>
          <w:sz w:val="32"/>
          <w:szCs w:val="32"/>
          <w:highlight w:val="none"/>
          <w:lang w:val="en-US" w:eastAsia="zh-CN"/>
        </w:rPr>
        <w:t>5</w:t>
      </w:r>
      <w:r>
        <w:rPr>
          <w:rFonts w:hint="default" w:ascii="Times New Roman" w:hAnsi="Times New Roman" w:eastAsia="方正仿宋_GBK" w:cs="Times New Roman"/>
          <w:spacing w:val="-4"/>
          <w:sz w:val="32"/>
          <w:szCs w:val="32"/>
          <w:highlight w:val="none"/>
        </w:rPr>
        <w:t>年专项资金使用情况和专项项目实施规模，根据各专项实际存档资料，就专项工作计划与部门职能和规划内容、与处室和项目之间的对应关系、重点工作安排与重点项目安排情况等，与相关处室的管理人员进行了沟通和交流，深入了解本部门涉及专项资金的使用情况和项目完成情况。</w:t>
      </w:r>
    </w:p>
    <w:p w14:paraId="43B29F57">
      <w:pPr>
        <w:keepNext w:val="0"/>
        <w:keepLines w:val="0"/>
        <w:pageBreakBefore w:val="0"/>
        <w:kinsoku/>
        <w:wordWrap/>
        <w:overflowPunct/>
        <w:topLinePunct w:val="0"/>
        <w:bidi w:val="0"/>
        <w:spacing w:line="560" w:lineRule="exact"/>
        <w:ind w:firstLine="624" w:firstLineChars="200"/>
        <w:textAlignment w:val="auto"/>
        <w:rPr>
          <w:rFonts w:hint="default" w:ascii="Times New Roman" w:hAnsi="Times New Roman" w:eastAsia="方正仿宋_GBK" w:cs="Times New Roman"/>
          <w:spacing w:val="-4"/>
          <w:sz w:val="32"/>
          <w:szCs w:val="32"/>
          <w:highlight w:val="none"/>
        </w:rPr>
      </w:pPr>
      <w:r>
        <w:rPr>
          <w:rFonts w:hint="default" w:ascii="Times New Roman" w:hAnsi="Times New Roman" w:eastAsia="方正仿宋_GBK" w:cs="Times New Roman"/>
          <w:spacing w:val="-4"/>
          <w:sz w:val="32"/>
          <w:szCs w:val="32"/>
          <w:highlight w:val="none"/>
          <w:lang w:eastAsia="zh-CN"/>
        </w:rPr>
        <w:t>（</w:t>
      </w:r>
      <w:r>
        <w:rPr>
          <w:rFonts w:hint="default" w:ascii="Times New Roman" w:hAnsi="Times New Roman" w:eastAsia="方正仿宋_GBK" w:cs="Times New Roman"/>
          <w:spacing w:val="-4"/>
          <w:sz w:val="32"/>
          <w:szCs w:val="32"/>
          <w:highlight w:val="none"/>
          <w:lang w:val="en-US" w:eastAsia="zh-CN"/>
        </w:rPr>
        <w:t>2</w:t>
      </w:r>
      <w:r>
        <w:rPr>
          <w:rFonts w:hint="default" w:ascii="Times New Roman" w:hAnsi="Times New Roman" w:eastAsia="方正仿宋_GBK" w:cs="Times New Roman"/>
          <w:spacing w:val="-4"/>
          <w:sz w:val="32"/>
          <w:szCs w:val="32"/>
          <w:highlight w:val="none"/>
          <w:lang w:eastAsia="zh-CN"/>
        </w:rPr>
        <w:t>）</w:t>
      </w:r>
      <w:r>
        <w:rPr>
          <w:rFonts w:hint="default" w:ascii="Times New Roman" w:hAnsi="Times New Roman" w:eastAsia="方正仿宋_GBK" w:cs="Times New Roman"/>
          <w:spacing w:val="-4"/>
          <w:sz w:val="32"/>
          <w:szCs w:val="32"/>
          <w:highlight w:val="none"/>
        </w:rPr>
        <w:t>组织实施</w:t>
      </w:r>
    </w:p>
    <w:p w14:paraId="1853B0EB">
      <w:pPr>
        <w:pStyle w:val="9"/>
        <w:keepNext w:val="0"/>
        <w:keepLines w:val="0"/>
        <w:pageBreakBefore w:val="0"/>
        <w:widowControl/>
        <w:numPr>
          <w:ilvl w:val="0"/>
          <w:numId w:val="0"/>
        </w:numPr>
        <w:shd w:val="clear" w:color="auto" w:fill="FFFFFF"/>
        <w:kinsoku/>
        <w:wordWrap/>
        <w:overflowPunct/>
        <w:topLinePunct w:val="0"/>
        <w:bidi w:val="0"/>
        <w:spacing w:beforeAutospacing="0" w:afterAutospacing="0" w:line="560" w:lineRule="exact"/>
        <w:ind w:firstLine="624" w:firstLineChars="200"/>
        <w:jc w:val="both"/>
        <w:textAlignment w:val="auto"/>
        <w:rPr>
          <w:rFonts w:hint="default" w:ascii="Times New Roman" w:hAnsi="Times New Roman" w:eastAsia="方正仿宋_GBK" w:cs="Times New Roman"/>
          <w:spacing w:val="-4"/>
          <w:kern w:val="2"/>
          <w:sz w:val="32"/>
          <w:szCs w:val="32"/>
          <w:highlight w:val="none"/>
        </w:rPr>
      </w:pPr>
      <w:r>
        <w:rPr>
          <w:rFonts w:hint="default" w:ascii="Times New Roman" w:hAnsi="Times New Roman" w:eastAsia="方正仿宋_GBK" w:cs="Times New Roman"/>
          <w:spacing w:val="-4"/>
          <w:kern w:val="2"/>
          <w:sz w:val="32"/>
          <w:szCs w:val="32"/>
          <w:highlight w:val="none"/>
        </w:rPr>
        <w:t>切实抓好预算编审工作，围绕过紧日子要求，审核更加细致深入，严控“三公”经费，坚决剔除不必要支出，压减一般性支出，厉行节约、制止浪费。严格审核程序，从严控制申报事项，推动预算单位事权与财力的合理匹配，确保预算单位申报财政资金的必要性及合理性。严格执行各项财经制度和管理规定，对预算资金严格控制，规范使用，强化执行。严格开展决算审核，将决算编制情况与预算批复严格比对分析，审核决算数据的完整性、规范性和真实性。坚持问题导向和绩效导向，关注预算执行的薄弱环节和经常性问题。</w:t>
      </w:r>
    </w:p>
    <w:p w14:paraId="34E86BB9">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1"/>
        <w:rPr>
          <w:rFonts w:hint="default" w:ascii="Times New Roman" w:hAnsi="Times New Roman" w:eastAsia="方正楷体_GBK" w:cs="Times New Roman"/>
          <w:sz w:val="32"/>
          <w:szCs w:val="32"/>
          <w:highlight w:val="none"/>
          <w:shd w:val="clear" w:color="auto" w:fill="FFFFFF"/>
          <w:lang w:eastAsia="zh-CN"/>
        </w:rPr>
      </w:pPr>
      <w:bookmarkStart w:id="8" w:name="_Toc69718317"/>
      <w:r>
        <w:rPr>
          <w:rFonts w:hint="default" w:ascii="Times New Roman" w:hAnsi="Times New Roman" w:eastAsia="方正楷体_GBK" w:cs="Times New Roman"/>
          <w:sz w:val="32"/>
          <w:szCs w:val="32"/>
          <w:highlight w:val="none"/>
          <w:shd w:val="clear" w:color="auto" w:fill="FFFFFF"/>
          <w:lang w:val="en-US" w:eastAsia="zh-CN"/>
        </w:rPr>
        <w:t>2.</w:t>
      </w:r>
      <w:r>
        <w:rPr>
          <w:rFonts w:hint="default" w:ascii="Times New Roman" w:hAnsi="Times New Roman" w:eastAsia="方正楷体_GBK" w:cs="Times New Roman"/>
          <w:sz w:val="32"/>
          <w:szCs w:val="32"/>
          <w:highlight w:val="none"/>
          <w:shd w:val="clear" w:color="auto" w:fill="FFFFFF"/>
          <w:lang w:eastAsia="zh-CN"/>
        </w:rPr>
        <w:t>专项管理情况分析</w:t>
      </w:r>
      <w:bookmarkEnd w:id="8"/>
    </w:p>
    <w:p w14:paraId="6A02AE58">
      <w:pPr>
        <w:keepNext w:val="0"/>
        <w:keepLines w:val="0"/>
        <w:pageBreakBefore w:val="0"/>
        <w:kinsoku/>
        <w:wordWrap/>
        <w:overflowPunct/>
        <w:topLinePunct w:val="0"/>
        <w:bidi w:val="0"/>
        <w:spacing w:line="560" w:lineRule="exact"/>
        <w:ind w:firstLine="640"/>
        <w:textAlignment w:val="auto"/>
        <w:outlineLvl w:val="2"/>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lang w:eastAsia="zh-CN"/>
        </w:rPr>
        <w:t>（</w:t>
      </w:r>
      <w:r>
        <w:rPr>
          <w:rFonts w:hint="default" w:ascii="Times New Roman" w:hAnsi="Times New Roman" w:eastAsia="方正仿宋_GBK" w:cs="Times New Roman"/>
          <w:kern w:val="0"/>
          <w:sz w:val="32"/>
          <w:szCs w:val="32"/>
          <w:highlight w:val="none"/>
          <w:lang w:val="en-US" w:eastAsia="zh-CN"/>
        </w:rPr>
        <w:t>1</w:t>
      </w:r>
      <w:r>
        <w:rPr>
          <w:rFonts w:hint="default" w:ascii="Times New Roman" w:hAnsi="Times New Roman" w:eastAsia="方正仿宋_GBK" w:cs="Times New Roman"/>
          <w:kern w:val="0"/>
          <w:sz w:val="32"/>
          <w:szCs w:val="32"/>
          <w:highlight w:val="none"/>
          <w:lang w:eastAsia="zh-CN"/>
        </w:rPr>
        <w:t>）</w:t>
      </w:r>
      <w:r>
        <w:rPr>
          <w:rFonts w:hint="default" w:ascii="Times New Roman" w:hAnsi="Times New Roman" w:eastAsia="方正仿宋_GBK" w:cs="Times New Roman"/>
          <w:kern w:val="0"/>
          <w:sz w:val="32"/>
          <w:szCs w:val="32"/>
          <w:highlight w:val="none"/>
        </w:rPr>
        <w:t>设立专项的政策依据</w:t>
      </w:r>
    </w:p>
    <w:p w14:paraId="32521C2A">
      <w:pPr>
        <w:keepNext w:val="0"/>
        <w:keepLines w:val="0"/>
        <w:pageBreakBefore w:val="0"/>
        <w:kinsoku/>
        <w:wordWrap/>
        <w:overflowPunct/>
        <w:topLinePunct w:val="0"/>
        <w:bidi w:val="0"/>
        <w:spacing w:line="560" w:lineRule="exact"/>
        <w:ind w:firstLine="640"/>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根据部门和单位主要职责和工作计划确定本年度主要工作任务以及开展任务所对应的专项预算支出金额。各单位新申请的预算项目进行事前评估，其结果作为各单位申报预算的必备要件。规范和加强项目库的管理，对项目库中的项目实行滚动管理。</w:t>
      </w:r>
    </w:p>
    <w:p w14:paraId="44845AB0">
      <w:pPr>
        <w:pStyle w:val="23"/>
        <w:keepNext w:val="0"/>
        <w:keepLines w:val="0"/>
        <w:pageBreakBefore w:val="0"/>
        <w:kinsoku/>
        <w:wordWrap/>
        <w:overflowPunct/>
        <w:topLinePunct w:val="0"/>
        <w:bidi w:val="0"/>
        <w:spacing w:line="560" w:lineRule="exact"/>
        <w:ind w:firstLine="624" w:firstLineChars="200"/>
        <w:textAlignment w:val="auto"/>
        <w:outlineLvl w:val="2"/>
        <w:rPr>
          <w:rFonts w:hint="default" w:ascii="Times New Roman" w:hAnsi="Times New Roman" w:eastAsia="方正仿宋_GBK" w:cs="Times New Roman"/>
          <w:color w:val="auto"/>
          <w:spacing w:val="-4"/>
          <w:sz w:val="32"/>
          <w:szCs w:val="32"/>
          <w:highlight w:val="none"/>
        </w:rPr>
      </w:pPr>
      <w:r>
        <w:rPr>
          <w:rFonts w:hint="default" w:ascii="Times New Roman" w:hAnsi="Times New Roman" w:eastAsia="方正仿宋_GBK" w:cs="Times New Roman"/>
          <w:color w:val="auto"/>
          <w:spacing w:val="-4"/>
          <w:sz w:val="32"/>
          <w:szCs w:val="32"/>
          <w:highlight w:val="none"/>
          <w:lang w:eastAsia="zh-CN"/>
        </w:rPr>
        <w:t>（</w:t>
      </w:r>
      <w:r>
        <w:rPr>
          <w:rFonts w:hint="default" w:ascii="Times New Roman" w:hAnsi="Times New Roman" w:eastAsia="方正仿宋_GBK" w:cs="Times New Roman"/>
          <w:color w:val="auto"/>
          <w:spacing w:val="-4"/>
          <w:sz w:val="32"/>
          <w:szCs w:val="32"/>
          <w:highlight w:val="none"/>
          <w:lang w:val="en-US" w:eastAsia="zh-CN"/>
        </w:rPr>
        <w:t>2</w:t>
      </w:r>
      <w:r>
        <w:rPr>
          <w:rFonts w:hint="default" w:ascii="Times New Roman" w:hAnsi="Times New Roman" w:eastAsia="方正仿宋_GBK" w:cs="Times New Roman"/>
          <w:color w:val="auto"/>
          <w:spacing w:val="-4"/>
          <w:sz w:val="32"/>
          <w:szCs w:val="32"/>
          <w:highlight w:val="none"/>
          <w:lang w:eastAsia="zh-CN"/>
        </w:rPr>
        <w:t>）</w:t>
      </w:r>
      <w:r>
        <w:rPr>
          <w:rFonts w:hint="default" w:ascii="Times New Roman" w:hAnsi="Times New Roman" w:eastAsia="方正仿宋_GBK" w:cs="Times New Roman"/>
          <w:color w:val="auto"/>
          <w:spacing w:val="-4"/>
          <w:sz w:val="32"/>
          <w:szCs w:val="32"/>
          <w:highlight w:val="none"/>
        </w:rPr>
        <w:t>项目资金情况分析</w:t>
      </w:r>
    </w:p>
    <w:p w14:paraId="41FDBC77">
      <w:pPr>
        <w:pStyle w:val="23"/>
        <w:keepNext w:val="0"/>
        <w:keepLines w:val="0"/>
        <w:pageBreakBefore w:val="0"/>
        <w:kinsoku/>
        <w:wordWrap/>
        <w:overflowPunct/>
        <w:topLinePunct w:val="0"/>
        <w:bidi w:val="0"/>
        <w:spacing w:line="560" w:lineRule="exact"/>
        <w:ind w:firstLine="624" w:firstLineChars="200"/>
        <w:textAlignment w:val="auto"/>
        <w:rPr>
          <w:rFonts w:hint="default" w:ascii="Times New Roman" w:hAnsi="Times New Roman" w:eastAsia="方正仿宋_GBK" w:cs="Times New Roman"/>
          <w:color w:val="auto"/>
          <w:spacing w:val="-4"/>
          <w:sz w:val="32"/>
          <w:szCs w:val="32"/>
          <w:highlight w:val="none"/>
        </w:rPr>
      </w:pPr>
      <w:r>
        <w:rPr>
          <w:rFonts w:hint="default" w:ascii="Times New Roman" w:hAnsi="Times New Roman" w:eastAsia="方正仿宋_GBK" w:cs="Times New Roman"/>
          <w:color w:val="auto"/>
          <w:spacing w:val="-4"/>
          <w:sz w:val="32"/>
          <w:szCs w:val="32"/>
          <w:highlight w:val="none"/>
        </w:rPr>
        <w:t>①资金到位及资金使用情况</w:t>
      </w:r>
    </w:p>
    <w:p w14:paraId="493D5267">
      <w:pPr>
        <w:keepNext w:val="0"/>
        <w:keepLines w:val="0"/>
        <w:pageBreakBefore w:val="0"/>
        <w:kinsoku/>
        <w:wordWrap/>
        <w:overflowPunct/>
        <w:topLinePunct w:val="0"/>
        <w:bidi w:val="0"/>
        <w:spacing w:line="560" w:lineRule="exact"/>
        <w:ind w:firstLine="640"/>
        <w:textAlignment w:val="auto"/>
        <w:rPr>
          <w:rFonts w:hint="default" w:ascii="Times New Roman" w:hAnsi="Times New Roman" w:eastAsia="方正仿宋_GBK" w:cs="Times New Roman"/>
          <w:kern w:val="1"/>
          <w:sz w:val="32"/>
          <w:szCs w:val="32"/>
          <w:highlight w:val="none"/>
        </w:rPr>
      </w:pPr>
      <w:r>
        <w:rPr>
          <w:rFonts w:hint="default" w:ascii="Times New Roman" w:hAnsi="Times New Roman" w:eastAsia="方正仿宋_GBK" w:cs="Times New Roman"/>
          <w:spacing w:val="-4"/>
          <w:sz w:val="32"/>
          <w:szCs w:val="32"/>
          <w:highlight w:val="none"/>
        </w:rPr>
        <w:t>202</w:t>
      </w:r>
      <w:r>
        <w:rPr>
          <w:rFonts w:hint="eastAsia" w:ascii="Times New Roman" w:hAnsi="Times New Roman" w:eastAsia="方正仿宋_GBK" w:cs="Times New Roman"/>
          <w:spacing w:val="-4"/>
          <w:sz w:val="32"/>
          <w:szCs w:val="32"/>
          <w:highlight w:val="none"/>
          <w:lang w:val="en-US" w:eastAsia="zh-CN"/>
        </w:rPr>
        <w:t>5</w:t>
      </w:r>
      <w:r>
        <w:rPr>
          <w:rFonts w:hint="default" w:ascii="Times New Roman" w:hAnsi="Times New Roman" w:eastAsia="方正仿宋_GBK" w:cs="Times New Roman"/>
          <w:spacing w:val="-4"/>
          <w:sz w:val="32"/>
          <w:szCs w:val="32"/>
          <w:highlight w:val="none"/>
        </w:rPr>
        <w:t>年专项资金总额2,639,162.65万元，</w:t>
      </w:r>
      <w:r>
        <w:rPr>
          <w:rFonts w:hint="default" w:ascii="Times New Roman" w:hAnsi="Times New Roman" w:eastAsia="方正仿宋_GBK" w:cs="Times New Roman"/>
          <w:kern w:val="1"/>
          <w:sz w:val="32"/>
          <w:szCs w:val="32"/>
          <w:highlight w:val="none"/>
        </w:rPr>
        <w:t>实际支出1,810,103.73万元，预算执行率为</w:t>
      </w:r>
      <w:r>
        <w:rPr>
          <w:rFonts w:hint="eastAsia" w:ascii="Times New Roman" w:hAnsi="Times New Roman" w:eastAsia="方正仿宋_GBK" w:cs="Times New Roman"/>
          <w:kern w:val="1"/>
          <w:sz w:val="32"/>
          <w:szCs w:val="32"/>
          <w:highlight w:val="none"/>
          <w:lang w:val="en-US" w:eastAsia="zh-CN"/>
        </w:rPr>
        <w:t>68.59%</w:t>
      </w:r>
      <w:r>
        <w:rPr>
          <w:rFonts w:hint="default" w:ascii="Times New Roman" w:hAnsi="Times New Roman" w:eastAsia="方正仿宋_GBK" w:cs="Times New Roman"/>
          <w:kern w:val="1"/>
          <w:sz w:val="32"/>
          <w:szCs w:val="32"/>
          <w:highlight w:val="none"/>
        </w:rPr>
        <w:t>。</w:t>
      </w:r>
    </w:p>
    <w:p w14:paraId="47222360">
      <w:pPr>
        <w:pStyle w:val="23"/>
        <w:keepNext w:val="0"/>
        <w:keepLines w:val="0"/>
        <w:pageBreakBefore w:val="0"/>
        <w:kinsoku/>
        <w:wordWrap/>
        <w:overflowPunct/>
        <w:topLinePunct w:val="0"/>
        <w:bidi w:val="0"/>
        <w:spacing w:line="560" w:lineRule="exact"/>
        <w:ind w:firstLine="624" w:firstLineChars="200"/>
        <w:textAlignment w:val="auto"/>
        <w:rPr>
          <w:rFonts w:hint="default" w:ascii="Times New Roman" w:hAnsi="Times New Roman" w:eastAsia="方正仿宋_GBK" w:cs="Times New Roman"/>
          <w:color w:val="auto"/>
          <w:spacing w:val="-4"/>
          <w:sz w:val="32"/>
          <w:szCs w:val="32"/>
          <w:highlight w:val="none"/>
        </w:rPr>
      </w:pPr>
      <w:r>
        <w:rPr>
          <w:rFonts w:hint="default" w:ascii="Times New Roman" w:hAnsi="Times New Roman" w:eastAsia="宋体" w:cs="Times New Roman"/>
          <w:color w:val="auto"/>
          <w:spacing w:val="-4"/>
          <w:sz w:val="32"/>
          <w:szCs w:val="32"/>
          <w:highlight w:val="none"/>
        </w:rPr>
        <w:t>②</w:t>
      </w:r>
      <w:r>
        <w:rPr>
          <w:rFonts w:hint="default" w:ascii="Times New Roman" w:hAnsi="Times New Roman" w:eastAsia="方正仿宋_GBK" w:cs="Times New Roman"/>
          <w:color w:val="auto"/>
          <w:spacing w:val="-4"/>
          <w:sz w:val="32"/>
          <w:szCs w:val="32"/>
          <w:highlight w:val="none"/>
        </w:rPr>
        <w:t>资金管理情况</w:t>
      </w:r>
    </w:p>
    <w:p w14:paraId="53747D06">
      <w:pPr>
        <w:pStyle w:val="9"/>
        <w:keepNext w:val="0"/>
        <w:keepLines w:val="0"/>
        <w:pageBreakBefore w:val="0"/>
        <w:widowControl/>
        <w:kinsoku/>
        <w:wordWrap/>
        <w:overflowPunct/>
        <w:topLinePunct w:val="0"/>
        <w:bidi w:val="0"/>
        <w:spacing w:beforeAutospacing="0" w:afterAutospacing="0" w:line="560" w:lineRule="exact"/>
        <w:ind w:firstLine="640" w:firstLineChars="200"/>
        <w:textAlignment w:val="auto"/>
        <w:rPr>
          <w:rFonts w:hint="default" w:ascii="Times New Roman" w:hAnsi="Times New Roman" w:eastAsia="方正仿宋_GBK" w:cs="Times New Roman"/>
          <w:spacing w:val="-4"/>
          <w:sz w:val="32"/>
          <w:szCs w:val="32"/>
          <w:highlight w:val="none"/>
        </w:rPr>
      </w:pPr>
      <w:r>
        <w:rPr>
          <w:rFonts w:hint="default" w:ascii="Times New Roman" w:hAnsi="Times New Roman" w:eastAsia="方正仿宋_GBK" w:cs="Times New Roman"/>
          <w:sz w:val="32"/>
          <w:szCs w:val="32"/>
          <w:highlight w:val="none"/>
          <w:shd w:val="clear" w:color="auto" w:fill="FFFFFF"/>
        </w:rPr>
        <w:t>预算编制遵循统筹兼顾、勤俭节约、量力而行、讲求绩效和收支平衡的原则，在保证基本公共服务合理需要的前提下，优先安排重点项目支出。各单位的支出必须以经批准的预算为依据，未列入预算的不得支出；专项资金专款专用，严禁将专项资金</w:t>
      </w:r>
      <w:r>
        <w:rPr>
          <w:rFonts w:hint="default" w:ascii="Times New Roman" w:hAnsi="Times New Roman" w:eastAsia="方正仿宋_GBK" w:cs="Times New Roman"/>
          <w:sz w:val="32"/>
          <w:szCs w:val="32"/>
          <w:highlight w:val="none"/>
        </w:rPr>
        <w:t>用于偿还债务、支付利息、对外投资、弥补其他项目资金缺口等，不得从专项资金中提取工作经费或管理经费。</w:t>
      </w:r>
      <w:r>
        <w:rPr>
          <w:rFonts w:hint="default" w:ascii="Times New Roman" w:hAnsi="Times New Roman" w:eastAsia="方正仿宋_GBK" w:cs="Times New Roman"/>
          <w:sz w:val="32"/>
          <w:szCs w:val="32"/>
          <w:highlight w:val="none"/>
          <w:shd w:val="clear" w:color="auto" w:fill="FFFFFF"/>
        </w:rPr>
        <w:t>贯彻勤俭节约的原则，严格控制“三公”经费支出；按时对预算支出情况开展绩效监控和评价，</w:t>
      </w:r>
      <w:r>
        <w:rPr>
          <w:rFonts w:hint="default" w:ascii="Times New Roman" w:hAnsi="Times New Roman" w:eastAsia="方正仿宋_GBK" w:cs="Times New Roman"/>
          <w:sz w:val="32"/>
          <w:szCs w:val="32"/>
          <w:highlight w:val="none"/>
        </w:rPr>
        <w:t>督促各项目承担单位严格执行项目预算</w:t>
      </w:r>
      <w:r>
        <w:rPr>
          <w:rFonts w:hint="default" w:ascii="Times New Roman" w:hAnsi="Times New Roman" w:eastAsia="方正仿宋_GBK" w:cs="Times New Roman"/>
          <w:sz w:val="32"/>
          <w:szCs w:val="32"/>
          <w:highlight w:val="none"/>
          <w:shd w:val="clear" w:color="auto" w:fill="FFFFFF"/>
        </w:rPr>
        <w:t>；</w:t>
      </w:r>
      <w:r>
        <w:rPr>
          <w:rFonts w:hint="default" w:ascii="Times New Roman" w:hAnsi="Times New Roman" w:eastAsia="方正仿宋_GBK" w:cs="Times New Roman"/>
          <w:sz w:val="32"/>
          <w:szCs w:val="32"/>
          <w:highlight w:val="none"/>
        </w:rPr>
        <w:t>年度未支出的专项资金，按照财政部对结转结余资金管理的有关规定进行管理。</w:t>
      </w:r>
    </w:p>
    <w:p w14:paraId="3298C388">
      <w:pPr>
        <w:pStyle w:val="23"/>
        <w:keepNext w:val="0"/>
        <w:keepLines w:val="0"/>
        <w:pageBreakBefore w:val="0"/>
        <w:kinsoku/>
        <w:wordWrap/>
        <w:overflowPunct/>
        <w:topLinePunct w:val="0"/>
        <w:bidi w:val="0"/>
        <w:spacing w:line="560" w:lineRule="exact"/>
        <w:ind w:firstLine="624" w:firstLineChars="200"/>
        <w:textAlignment w:val="auto"/>
        <w:outlineLvl w:val="2"/>
        <w:rPr>
          <w:rFonts w:hint="default" w:ascii="Times New Roman" w:hAnsi="Times New Roman" w:eastAsia="方正仿宋_GBK" w:cs="Times New Roman"/>
          <w:color w:val="auto"/>
          <w:spacing w:val="-4"/>
          <w:sz w:val="32"/>
          <w:szCs w:val="32"/>
          <w:highlight w:val="none"/>
        </w:rPr>
      </w:pPr>
      <w:r>
        <w:rPr>
          <w:rFonts w:hint="default" w:ascii="Times New Roman" w:hAnsi="Times New Roman" w:eastAsia="方正仿宋_GBK" w:cs="Times New Roman"/>
          <w:color w:val="auto"/>
          <w:spacing w:val="-4"/>
          <w:sz w:val="32"/>
          <w:szCs w:val="32"/>
          <w:highlight w:val="none"/>
          <w:lang w:eastAsia="zh-CN"/>
        </w:rPr>
        <w:t>（</w:t>
      </w:r>
      <w:r>
        <w:rPr>
          <w:rFonts w:hint="default" w:ascii="Times New Roman" w:hAnsi="Times New Roman" w:eastAsia="方正仿宋_GBK" w:cs="Times New Roman"/>
          <w:color w:val="auto"/>
          <w:spacing w:val="-4"/>
          <w:sz w:val="32"/>
          <w:szCs w:val="32"/>
          <w:highlight w:val="none"/>
          <w:lang w:val="en-US" w:eastAsia="zh-CN"/>
        </w:rPr>
        <w:t>3</w:t>
      </w:r>
      <w:r>
        <w:rPr>
          <w:rFonts w:hint="default" w:ascii="Times New Roman" w:hAnsi="Times New Roman" w:eastAsia="方正仿宋_GBK" w:cs="Times New Roman"/>
          <w:color w:val="auto"/>
          <w:spacing w:val="-4"/>
          <w:sz w:val="32"/>
          <w:szCs w:val="32"/>
          <w:highlight w:val="none"/>
          <w:lang w:eastAsia="zh-CN"/>
        </w:rPr>
        <w:t>）</w:t>
      </w:r>
      <w:r>
        <w:rPr>
          <w:rFonts w:hint="default" w:ascii="Times New Roman" w:hAnsi="Times New Roman" w:eastAsia="方正仿宋_GBK" w:cs="Times New Roman"/>
          <w:color w:val="auto"/>
          <w:spacing w:val="-4"/>
          <w:sz w:val="32"/>
          <w:szCs w:val="32"/>
          <w:highlight w:val="none"/>
        </w:rPr>
        <w:t>项目实施情况分析</w:t>
      </w:r>
    </w:p>
    <w:p w14:paraId="1A9D4556">
      <w:pPr>
        <w:pStyle w:val="23"/>
        <w:keepNext w:val="0"/>
        <w:keepLines w:val="0"/>
        <w:pageBreakBefore w:val="0"/>
        <w:kinsoku/>
        <w:wordWrap/>
        <w:overflowPunct/>
        <w:topLinePunct w:val="0"/>
        <w:bidi w:val="0"/>
        <w:spacing w:line="560" w:lineRule="exact"/>
        <w:ind w:firstLine="624" w:firstLineChars="200"/>
        <w:textAlignment w:val="auto"/>
        <w:rPr>
          <w:rFonts w:hint="default" w:ascii="Times New Roman" w:hAnsi="Times New Roman" w:eastAsia="方正仿宋_GBK" w:cs="Times New Roman"/>
          <w:color w:val="auto"/>
          <w:spacing w:val="-4"/>
          <w:sz w:val="32"/>
          <w:szCs w:val="32"/>
          <w:highlight w:val="none"/>
        </w:rPr>
      </w:pPr>
      <w:r>
        <w:rPr>
          <w:rFonts w:hint="default" w:ascii="Times New Roman" w:hAnsi="Times New Roman" w:eastAsia="方正仿宋_GBK" w:cs="Times New Roman"/>
          <w:color w:val="auto"/>
          <w:spacing w:val="-4"/>
          <w:sz w:val="32"/>
          <w:szCs w:val="32"/>
          <w:highlight w:val="none"/>
          <w:lang w:val="en-US" w:eastAsia="zh-CN"/>
        </w:rPr>
        <w:t>①</w:t>
      </w:r>
      <w:r>
        <w:rPr>
          <w:rFonts w:hint="default" w:ascii="Times New Roman" w:hAnsi="Times New Roman" w:eastAsia="方正仿宋_GBK" w:cs="Times New Roman"/>
          <w:color w:val="auto"/>
          <w:spacing w:val="-4"/>
          <w:sz w:val="32"/>
          <w:szCs w:val="32"/>
          <w:highlight w:val="none"/>
        </w:rPr>
        <w:t>组织情况</w:t>
      </w:r>
    </w:p>
    <w:p w14:paraId="7B343CDD">
      <w:pPr>
        <w:keepNext w:val="0"/>
        <w:keepLines w:val="0"/>
        <w:pageBreakBefore w:val="0"/>
        <w:kinsoku/>
        <w:wordWrap/>
        <w:overflowPunct/>
        <w:topLinePunct w:val="0"/>
        <w:bidi w:val="0"/>
        <w:spacing w:line="560" w:lineRule="exact"/>
        <w:ind w:firstLine="624" w:firstLineChars="200"/>
        <w:textAlignment w:val="auto"/>
        <w:rPr>
          <w:rFonts w:hint="default" w:ascii="Times New Roman" w:hAnsi="Times New Roman" w:eastAsia="方正仿宋_GBK" w:cs="Times New Roman"/>
          <w:kern w:val="1"/>
          <w:sz w:val="32"/>
          <w:szCs w:val="32"/>
          <w:highlight w:val="none"/>
        </w:rPr>
      </w:pPr>
      <w:r>
        <w:rPr>
          <w:rFonts w:hint="default" w:ascii="Times New Roman" w:hAnsi="Times New Roman" w:eastAsia="方正仿宋_GBK" w:cs="Times New Roman"/>
          <w:spacing w:val="-4"/>
          <w:sz w:val="32"/>
          <w:szCs w:val="32"/>
          <w:highlight w:val="none"/>
        </w:rPr>
        <w:t>严格预算编制审核，从严控制项目申报事项，推动预算单位事权与财力的合理匹配，</w:t>
      </w:r>
      <w:r>
        <w:rPr>
          <w:rFonts w:hint="default" w:ascii="Times New Roman" w:hAnsi="Times New Roman" w:eastAsia="方正仿宋_GBK" w:cs="Times New Roman"/>
          <w:sz w:val="32"/>
          <w:szCs w:val="32"/>
          <w:highlight w:val="none"/>
          <w:shd w:val="clear" w:color="auto" w:fill="FFFFFF"/>
        </w:rPr>
        <w:t>确保预算单位申报财政资金的必要性及合理性。</w:t>
      </w:r>
      <w:r>
        <w:rPr>
          <w:rFonts w:hint="default" w:ascii="Times New Roman" w:hAnsi="Times New Roman" w:eastAsia="方正仿宋_GBK" w:cs="Times New Roman"/>
          <w:sz w:val="32"/>
          <w:szCs w:val="32"/>
          <w:highlight w:val="none"/>
        </w:rPr>
        <w:t>推进项目支出预算编制的规范化、科学化，精细化，编制到具体的明细项目，申报时做到“立项有依据、计算有标准”</w:t>
      </w:r>
      <w:r>
        <w:rPr>
          <w:rFonts w:hint="default" w:ascii="Times New Roman" w:hAnsi="Times New Roman" w:eastAsia="方正仿宋_GBK" w:cs="Times New Roman"/>
          <w:spacing w:val="-4"/>
          <w:sz w:val="32"/>
          <w:szCs w:val="32"/>
          <w:highlight w:val="none"/>
        </w:rPr>
        <w:t>。</w:t>
      </w:r>
      <w:r>
        <w:rPr>
          <w:rFonts w:hint="default" w:ascii="Times New Roman" w:hAnsi="Times New Roman" w:eastAsia="方正仿宋_GBK" w:cs="Times New Roman"/>
          <w:sz w:val="32"/>
          <w:szCs w:val="32"/>
          <w:highlight w:val="none"/>
        </w:rPr>
        <w:t>按照全过程预算绩效管理要求，开展事前绩效目标管理、事中实施绩效监控、事后开展绩效评价和结果应用，并按时将相关报告报送财政厅。</w:t>
      </w:r>
    </w:p>
    <w:p w14:paraId="233D469D">
      <w:pPr>
        <w:pStyle w:val="23"/>
        <w:keepNext w:val="0"/>
        <w:keepLines w:val="0"/>
        <w:pageBreakBefore w:val="0"/>
        <w:kinsoku/>
        <w:wordWrap/>
        <w:overflowPunct/>
        <w:topLinePunct w:val="0"/>
        <w:bidi w:val="0"/>
        <w:spacing w:line="560" w:lineRule="exact"/>
        <w:ind w:firstLine="624" w:firstLineChars="200"/>
        <w:textAlignment w:val="auto"/>
        <w:rPr>
          <w:rFonts w:hint="default" w:ascii="Times New Roman" w:hAnsi="Times New Roman" w:eastAsia="方正仿宋_GBK" w:cs="Times New Roman"/>
          <w:color w:val="auto"/>
          <w:spacing w:val="-4"/>
          <w:sz w:val="32"/>
          <w:szCs w:val="32"/>
          <w:highlight w:val="none"/>
        </w:rPr>
      </w:pPr>
      <w:r>
        <w:rPr>
          <w:rFonts w:hint="default" w:ascii="Times New Roman" w:hAnsi="Times New Roman" w:eastAsia="方正仿宋_GBK" w:cs="Times New Roman"/>
          <w:color w:val="auto"/>
          <w:spacing w:val="-4"/>
          <w:sz w:val="32"/>
          <w:szCs w:val="32"/>
          <w:highlight w:val="none"/>
          <w:lang w:val="en-US" w:eastAsia="zh-CN"/>
        </w:rPr>
        <w:t>②</w:t>
      </w:r>
      <w:r>
        <w:rPr>
          <w:rFonts w:hint="default" w:ascii="Times New Roman" w:hAnsi="Times New Roman" w:eastAsia="方正仿宋_GBK" w:cs="Times New Roman"/>
          <w:color w:val="auto"/>
          <w:spacing w:val="-4"/>
          <w:sz w:val="32"/>
          <w:szCs w:val="32"/>
          <w:highlight w:val="none"/>
        </w:rPr>
        <w:t>管理情况</w:t>
      </w:r>
    </w:p>
    <w:p w14:paraId="645447B4">
      <w:pPr>
        <w:keepNext w:val="0"/>
        <w:keepLines w:val="0"/>
        <w:pageBreakBefore w:val="0"/>
        <w:kinsoku/>
        <w:wordWrap/>
        <w:overflowPunct/>
        <w:topLinePunct w:val="0"/>
        <w:bidi w:val="0"/>
        <w:spacing w:line="560" w:lineRule="exact"/>
        <w:ind w:firstLine="624" w:firstLineChars="195"/>
        <w:jc w:val="left"/>
        <w:textAlignment w:val="auto"/>
        <w:rPr>
          <w:rFonts w:hint="default" w:ascii="Times New Roman" w:hAnsi="Times New Roman" w:eastAsia="方正仿宋_GBK" w:cs="Times New Roman"/>
          <w:kern w:val="1"/>
          <w:sz w:val="32"/>
          <w:szCs w:val="32"/>
          <w:highlight w:val="none"/>
        </w:rPr>
      </w:pPr>
      <w:r>
        <w:rPr>
          <w:rFonts w:hint="default" w:ascii="Times New Roman" w:hAnsi="Times New Roman" w:eastAsia="方正仿宋_GBK" w:cs="Times New Roman"/>
          <w:kern w:val="1"/>
          <w:sz w:val="32"/>
          <w:szCs w:val="32"/>
          <w:highlight w:val="none"/>
        </w:rPr>
        <w:t>根据《中华人民共和国预算法》等法律法规、《党政机关厉行节约反对浪费条例》和财政国库管理制度有关规定，规范财政资金管理，规范预算执行。</w:t>
      </w:r>
      <w:r>
        <w:rPr>
          <w:rFonts w:hint="default" w:ascii="Times New Roman" w:hAnsi="Times New Roman" w:eastAsia="方正仿宋_GBK" w:cs="Times New Roman"/>
          <w:spacing w:val="-4"/>
          <w:sz w:val="32"/>
          <w:szCs w:val="32"/>
          <w:highlight w:val="none"/>
        </w:rPr>
        <w:t>资金</w:t>
      </w:r>
      <w:r>
        <w:rPr>
          <w:rFonts w:hint="default" w:ascii="Times New Roman" w:hAnsi="Times New Roman" w:eastAsia="方正仿宋_GBK" w:cs="Times New Roman"/>
          <w:sz w:val="32"/>
          <w:szCs w:val="32"/>
          <w:highlight w:val="none"/>
          <w:shd w:val="clear" w:color="auto" w:fill="FFFFFF"/>
        </w:rPr>
        <w:t>支出严格按照预算执行，</w:t>
      </w:r>
      <w:r>
        <w:rPr>
          <w:rFonts w:hint="default" w:ascii="Times New Roman" w:hAnsi="Times New Roman" w:eastAsia="方正仿宋_GBK" w:cs="Times New Roman"/>
          <w:kern w:val="1"/>
          <w:sz w:val="32"/>
          <w:szCs w:val="32"/>
          <w:highlight w:val="none"/>
        </w:rPr>
        <w:t>不得虚假列支。严禁超预算、无预算安排支出或开展政府采购。属于政府采购的项目，编入政府采购预算，并按照政府采购制度的有关规定执行。严格按照国库集中支付制度规定的方式、程序、账户等支付资金，并做好相应的会计核算工作。</w:t>
      </w:r>
    </w:p>
    <w:p w14:paraId="17888D30">
      <w:pPr>
        <w:pStyle w:val="23"/>
        <w:keepNext w:val="0"/>
        <w:keepLines w:val="0"/>
        <w:pageBreakBefore w:val="0"/>
        <w:kinsoku/>
        <w:wordWrap/>
        <w:overflowPunct/>
        <w:topLinePunct w:val="0"/>
        <w:bidi w:val="0"/>
        <w:spacing w:line="560" w:lineRule="exact"/>
        <w:ind w:firstLine="624" w:firstLineChars="200"/>
        <w:textAlignment w:val="auto"/>
        <w:rPr>
          <w:rFonts w:hint="default" w:ascii="Times New Roman" w:hAnsi="Times New Roman" w:eastAsia="方正仿宋_GBK" w:cs="Times New Roman"/>
          <w:color w:val="auto"/>
          <w:spacing w:val="-4"/>
          <w:sz w:val="32"/>
          <w:szCs w:val="32"/>
          <w:highlight w:val="none"/>
        </w:rPr>
      </w:pPr>
      <w:r>
        <w:rPr>
          <w:rFonts w:hint="default" w:ascii="Times New Roman" w:hAnsi="Times New Roman" w:eastAsia="方正仿宋_GBK" w:cs="Times New Roman"/>
          <w:color w:val="auto"/>
          <w:spacing w:val="-4"/>
          <w:sz w:val="32"/>
          <w:szCs w:val="32"/>
          <w:highlight w:val="none"/>
          <w:lang w:val="en-US" w:eastAsia="zh-CN"/>
        </w:rPr>
        <w:t>③</w:t>
      </w:r>
      <w:r>
        <w:rPr>
          <w:rFonts w:hint="default" w:ascii="Times New Roman" w:hAnsi="Times New Roman" w:eastAsia="方正仿宋_GBK" w:cs="Times New Roman"/>
          <w:color w:val="auto"/>
          <w:spacing w:val="-4"/>
          <w:sz w:val="32"/>
          <w:szCs w:val="32"/>
          <w:highlight w:val="none"/>
        </w:rPr>
        <w:t>监管情况</w:t>
      </w:r>
    </w:p>
    <w:p w14:paraId="5DF6BE40">
      <w:pPr>
        <w:keepNext w:val="0"/>
        <w:keepLines w:val="0"/>
        <w:pageBreakBefore w:val="0"/>
        <w:kinsoku/>
        <w:wordWrap/>
        <w:overflowPunct/>
        <w:topLinePunct w:val="0"/>
        <w:bidi w:val="0"/>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规范资金支付审批程序，严肃财经纪律，落实审批责任主体及其责任，确保资金安全，提高资金使用效益，制定资金管理相关办法。</w:t>
      </w:r>
      <w:r>
        <w:rPr>
          <w:rFonts w:hint="default" w:ascii="Times New Roman" w:hAnsi="Times New Roman" w:eastAsia="方正仿宋_GBK" w:cs="Times New Roman"/>
          <w:kern w:val="1"/>
          <w:sz w:val="32"/>
          <w:szCs w:val="32"/>
          <w:highlight w:val="none"/>
        </w:rPr>
        <w:t>定期对项目执行及资金的使用情况进行自查，重点督查项目资金的使用进度，资金落实情况，对发现的问题采取措施，及时纠正。定期对项目支出开展绩效监控和绩效评价，</w:t>
      </w:r>
      <w:r>
        <w:rPr>
          <w:rFonts w:hint="default" w:ascii="Times New Roman" w:hAnsi="Times New Roman" w:eastAsia="方正仿宋_GBK" w:cs="Times New Roman"/>
          <w:sz w:val="32"/>
          <w:szCs w:val="32"/>
          <w:highlight w:val="none"/>
        </w:rPr>
        <w:t>对未能如期实现预期绩效目标或绩效评价结果较差的，形成倒逼机制，我厅在编制下年度预算时适当调减项目资金额度，督促各单位切实提高财政资金使用效益。</w:t>
      </w:r>
    </w:p>
    <w:p w14:paraId="01E546EA">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1"/>
        <w:rPr>
          <w:rFonts w:hint="default" w:ascii="Times New Roman" w:hAnsi="Times New Roman" w:eastAsia="方正楷体_GBK" w:cs="Times New Roman"/>
          <w:sz w:val="32"/>
          <w:szCs w:val="32"/>
          <w:highlight w:val="none"/>
          <w:shd w:val="clear" w:color="auto" w:fill="FFFFFF"/>
          <w:lang w:eastAsia="zh-CN"/>
        </w:rPr>
      </w:pPr>
      <w:bookmarkStart w:id="9" w:name="_Toc69718321"/>
      <w:r>
        <w:rPr>
          <w:rFonts w:hint="default" w:ascii="Times New Roman" w:hAnsi="Times New Roman" w:eastAsia="方正楷体_GBK" w:cs="Times New Roman"/>
          <w:sz w:val="32"/>
          <w:szCs w:val="32"/>
          <w:highlight w:val="none"/>
          <w:shd w:val="clear" w:color="auto" w:fill="FFFFFF"/>
          <w:lang w:eastAsia="zh-CN"/>
        </w:rPr>
        <w:t>（</w:t>
      </w:r>
      <w:r>
        <w:rPr>
          <w:rFonts w:hint="default" w:ascii="Times New Roman" w:hAnsi="Times New Roman" w:eastAsia="方正楷体_GBK" w:cs="Times New Roman"/>
          <w:sz w:val="32"/>
          <w:szCs w:val="32"/>
          <w:highlight w:val="none"/>
          <w:shd w:val="clear" w:color="auto" w:fill="FFFFFF"/>
          <w:lang w:val="en-US" w:eastAsia="zh-CN"/>
        </w:rPr>
        <w:t>七</w:t>
      </w:r>
      <w:r>
        <w:rPr>
          <w:rFonts w:hint="default" w:ascii="Times New Roman" w:hAnsi="Times New Roman" w:eastAsia="方正楷体_GBK" w:cs="Times New Roman"/>
          <w:sz w:val="32"/>
          <w:szCs w:val="32"/>
          <w:highlight w:val="none"/>
          <w:shd w:val="clear" w:color="auto" w:fill="FFFFFF"/>
          <w:lang w:eastAsia="zh-CN"/>
        </w:rPr>
        <w:t>）资产管理情况</w:t>
      </w:r>
      <w:bookmarkEnd w:id="9"/>
    </w:p>
    <w:p w14:paraId="4828DB96">
      <w:pPr>
        <w:keepNext w:val="0"/>
        <w:keepLines w:val="0"/>
        <w:pageBreakBefore w:val="0"/>
        <w:kinsoku/>
        <w:wordWrap/>
        <w:overflowPunct/>
        <w:topLinePunct w:val="0"/>
        <w:bidi w:val="0"/>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截至202</w:t>
      </w:r>
      <w:r>
        <w:rPr>
          <w:rFonts w:hint="eastAsia"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rPr>
        <w:t>年底我厅资产总额为215,923,184,976.67元，其中：流动资产3,359,115,616.18元</w:t>
      </w:r>
      <w:r>
        <w:rPr>
          <w:rFonts w:hint="eastAsia"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 xml:space="preserve">固定资产净值1,468,085,324.78元，在建工程57,944,792,126.29元, </w:t>
      </w:r>
      <w:r>
        <w:rPr>
          <w:rFonts w:hint="default" w:ascii="Times New Roman" w:hAnsi="Times New Roman" w:eastAsia="方正仿宋_GBK" w:cs="Times New Roman"/>
          <w:sz w:val="32"/>
          <w:szCs w:val="32"/>
          <w:highlight w:val="none"/>
          <w:lang w:val="en-US" w:eastAsia="zh-CN"/>
        </w:rPr>
        <w:t>长期股权投资2,000,000.00元，</w:t>
      </w:r>
      <w:r>
        <w:rPr>
          <w:rFonts w:hint="default" w:ascii="Times New Roman" w:hAnsi="Times New Roman" w:eastAsia="方正仿宋_GBK" w:cs="Times New Roman"/>
          <w:sz w:val="32"/>
          <w:szCs w:val="32"/>
          <w:highlight w:val="none"/>
        </w:rPr>
        <w:t>无形资产88,695,312.31元,公共基础设施153,104,853,621.69元。</w:t>
      </w:r>
    </w:p>
    <w:p w14:paraId="11CCE5D1">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1"/>
        <w:rPr>
          <w:rFonts w:hint="default" w:ascii="Times New Roman" w:hAnsi="Times New Roman" w:eastAsia="方正楷体_GBK" w:cs="Times New Roman"/>
          <w:sz w:val="32"/>
          <w:szCs w:val="32"/>
          <w:highlight w:val="none"/>
          <w:shd w:val="clear" w:color="auto" w:fill="FFFFFF"/>
          <w:lang w:eastAsia="zh-CN"/>
        </w:rPr>
      </w:pPr>
      <w:bookmarkStart w:id="10" w:name="_Toc67503000"/>
      <w:bookmarkStart w:id="11" w:name="_Toc69718322"/>
      <w:r>
        <w:rPr>
          <w:rFonts w:hint="default" w:ascii="Times New Roman" w:hAnsi="Times New Roman" w:eastAsia="方正楷体_GBK" w:cs="Times New Roman"/>
          <w:sz w:val="32"/>
          <w:szCs w:val="32"/>
          <w:highlight w:val="none"/>
          <w:shd w:val="clear" w:color="auto" w:fill="FFFFFF"/>
          <w:lang w:val="en-US" w:eastAsia="zh-CN"/>
        </w:rPr>
        <w:t>1.</w:t>
      </w:r>
      <w:r>
        <w:rPr>
          <w:rFonts w:hint="default" w:ascii="Times New Roman" w:hAnsi="Times New Roman" w:eastAsia="方正楷体_GBK" w:cs="Times New Roman"/>
          <w:sz w:val="32"/>
          <w:szCs w:val="32"/>
          <w:highlight w:val="none"/>
          <w:shd w:val="clear" w:color="auto" w:fill="FFFFFF"/>
          <w:lang w:eastAsia="zh-CN"/>
        </w:rPr>
        <w:t>资产管理体制和制度建设方面</w:t>
      </w:r>
      <w:bookmarkEnd w:id="10"/>
      <w:bookmarkEnd w:id="11"/>
    </w:p>
    <w:p w14:paraId="6225A8E4">
      <w:pPr>
        <w:keepNext w:val="0"/>
        <w:keepLines w:val="0"/>
        <w:pageBreakBefore w:val="0"/>
        <w:kinsoku/>
        <w:wordWrap/>
        <w:overflowPunct/>
        <w:topLinePunct w:val="0"/>
        <w:bidi w:val="0"/>
        <w:spacing w:line="560" w:lineRule="exact"/>
        <w:ind w:firstLine="640" w:firstLineChars="200"/>
        <w:textAlignment w:val="auto"/>
        <w:rPr>
          <w:rFonts w:hint="default" w:ascii="Times New Roman" w:hAnsi="Times New Roman" w:eastAsia="方正仿宋_GBK" w:cs="Times New Roman"/>
          <w:sz w:val="32"/>
          <w:szCs w:val="32"/>
          <w:highlight w:val="none"/>
        </w:rPr>
      </w:pPr>
      <w:bookmarkStart w:id="12" w:name="_Toc67503001"/>
      <w:r>
        <w:rPr>
          <w:rFonts w:hint="default" w:ascii="Times New Roman" w:hAnsi="Times New Roman" w:eastAsia="方正仿宋_GBK" w:cs="Times New Roman"/>
          <w:sz w:val="32"/>
          <w:szCs w:val="32"/>
          <w:highlight w:val="none"/>
        </w:rPr>
        <w:t>我厅结合自治区财政厅对国有资产管理工作的相关要求，制定了《交通运输厅系统国有资产管理办法》，成立了厅国有资产处置工作领导小组，固定资产实行归口管理责任制，财务部门管账，相关部门管实物，财务部门监督国有资产的购置、使用、管理、报废等，依据资料录入财政资产管理系统，整理固定资产卡片，按类别设置账簿，掌握各部门固定资产的动态。</w:t>
      </w:r>
    </w:p>
    <w:p w14:paraId="2FC11C67">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1"/>
        <w:rPr>
          <w:rFonts w:hint="default" w:ascii="Times New Roman" w:hAnsi="Times New Roman" w:eastAsia="方正楷体_GBK" w:cs="Times New Roman"/>
          <w:sz w:val="32"/>
          <w:szCs w:val="32"/>
          <w:highlight w:val="none"/>
          <w:shd w:val="clear" w:color="auto" w:fill="FFFFFF"/>
          <w:lang w:eastAsia="zh-CN"/>
        </w:rPr>
      </w:pPr>
      <w:bookmarkStart w:id="13" w:name="_Toc69718323"/>
      <w:r>
        <w:rPr>
          <w:rFonts w:hint="default" w:ascii="Times New Roman" w:hAnsi="Times New Roman" w:eastAsia="方正楷体_GBK" w:cs="Times New Roman"/>
          <w:sz w:val="32"/>
          <w:szCs w:val="32"/>
          <w:highlight w:val="none"/>
          <w:shd w:val="clear" w:color="auto" w:fill="FFFFFF"/>
          <w:lang w:val="en-US" w:eastAsia="zh-CN"/>
        </w:rPr>
        <w:t>2.</w:t>
      </w:r>
      <w:r>
        <w:rPr>
          <w:rFonts w:hint="default" w:ascii="Times New Roman" w:hAnsi="Times New Roman" w:eastAsia="方正楷体_GBK" w:cs="Times New Roman"/>
          <w:sz w:val="32"/>
          <w:szCs w:val="32"/>
          <w:highlight w:val="none"/>
          <w:shd w:val="clear" w:color="auto" w:fill="FFFFFF"/>
          <w:lang w:eastAsia="zh-CN"/>
        </w:rPr>
        <w:t>运行机制和管理方式</w:t>
      </w:r>
      <w:bookmarkEnd w:id="12"/>
      <w:bookmarkEnd w:id="13"/>
    </w:p>
    <w:p w14:paraId="12BC222A">
      <w:pPr>
        <w:keepNext w:val="0"/>
        <w:keepLines w:val="0"/>
        <w:pageBreakBefore w:val="0"/>
        <w:kinsoku/>
        <w:wordWrap/>
        <w:overflowPunct/>
        <w:topLinePunct w:val="0"/>
        <w:bidi w:val="0"/>
        <w:spacing w:line="560" w:lineRule="exact"/>
        <w:ind w:firstLine="640" w:firstLineChars="200"/>
        <w:textAlignment w:val="auto"/>
        <w:rPr>
          <w:rFonts w:hint="default" w:ascii="Times New Roman" w:hAnsi="Times New Roman" w:eastAsia="方正仿宋_GBK" w:cs="Times New Roman"/>
          <w:sz w:val="32"/>
          <w:szCs w:val="32"/>
          <w:highlight w:val="none"/>
        </w:rPr>
      </w:pPr>
      <w:bookmarkStart w:id="14" w:name="_Toc67503002"/>
      <w:r>
        <w:rPr>
          <w:rFonts w:hint="default" w:ascii="Times New Roman" w:hAnsi="Times New Roman" w:eastAsia="方正仿宋_GBK" w:cs="Times New Roman"/>
          <w:sz w:val="32"/>
          <w:szCs w:val="32"/>
          <w:highlight w:val="none"/>
        </w:rPr>
        <w:t>我厅所属的建设局、</w:t>
      </w:r>
      <w:r>
        <w:rPr>
          <w:rFonts w:hint="default" w:ascii="Times New Roman" w:hAnsi="Times New Roman" w:eastAsia="方正仿宋_GBK" w:cs="Times New Roman"/>
          <w:sz w:val="32"/>
          <w:szCs w:val="32"/>
          <w:highlight w:val="none"/>
          <w:lang w:eastAsia="zh-CN"/>
        </w:rPr>
        <w:t>公路发展中心</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CN"/>
        </w:rPr>
        <w:t>交通执法局</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CN"/>
        </w:rPr>
        <w:t>道路运输中心实行归口</w:t>
      </w:r>
      <w:r>
        <w:rPr>
          <w:rFonts w:hint="default" w:ascii="Times New Roman" w:hAnsi="Times New Roman" w:eastAsia="方正仿宋_GBK" w:cs="Times New Roman"/>
          <w:sz w:val="32"/>
          <w:szCs w:val="32"/>
          <w:highlight w:val="none"/>
        </w:rPr>
        <w:t>管理、分级负责的管理模式，对以上单位垂管的地州局国有资产进行管理。各单位财务部门建立了完整全面的固定资产明细账，并保持与各归口管理部门的台账相符。各单位购置固定资产，需报上级部门批准，且按批准的项目、资金渠道办理。凡属于政府采购项目的，履行政府采购程序。对固定资产的验收、调拨、盘点等各环节要手续健全、责任明确、管理有序，对造成资产损坏、损失和浪费的要认真查明原因，</w:t>
      </w:r>
      <w:r>
        <w:rPr>
          <w:rFonts w:hint="default" w:ascii="Times New Roman" w:hAnsi="Times New Roman" w:eastAsia="方正仿宋_GBK" w:cs="Times New Roman"/>
          <w:sz w:val="32"/>
          <w:szCs w:val="32"/>
          <w:highlight w:val="none"/>
          <w:lang w:eastAsia="zh-CN"/>
        </w:rPr>
        <w:t>作出正确处理</w:t>
      </w:r>
      <w:r>
        <w:rPr>
          <w:rFonts w:hint="default" w:ascii="Times New Roman" w:hAnsi="Times New Roman" w:eastAsia="方正仿宋_GBK" w:cs="Times New Roman"/>
          <w:sz w:val="32"/>
          <w:szCs w:val="32"/>
          <w:highlight w:val="none"/>
        </w:rPr>
        <w:t>。固定资产每年年终进行一次全面清查，清查时由归口管理部门提供卡片账和盘点表，会同财会部门进行实地盘点，做到账账相符、账实相符。我厅所属其他预算单位国有资产日常管理由各单位自行负责，涉及审批事项按规定程序办理。</w:t>
      </w:r>
    </w:p>
    <w:p w14:paraId="36A041E5">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1"/>
        <w:rPr>
          <w:rFonts w:hint="default" w:ascii="Times New Roman" w:hAnsi="Times New Roman" w:eastAsia="方正楷体_GBK" w:cs="Times New Roman"/>
          <w:sz w:val="32"/>
          <w:szCs w:val="32"/>
          <w:highlight w:val="none"/>
          <w:shd w:val="clear" w:color="auto" w:fill="FFFFFF"/>
          <w:lang w:eastAsia="zh-CN"/>
        </w:rPr>
      </w:pPr>
      <w:bookmarkStart w:id="15" w:name="_Toc69718324"/>
      <w:r>
        <w:rPr>
          <w:rFonts w:hint="default" w:ascii="Times New Roman" w:hAnsi="Times New Roman" w:eastAsia="方正楷体_GBK" w:cs="Times New Roman"/>
          <w:sz w:val="32"/>
          <w:szCs w:val="32"/>
          <w:highlight w:val="none"/>
          <w:shd w:val="clear" w:color="auto" w:fill="FFFFFF"/>
          <w:lang w:val="en-US" w:eastAsia="zh-CN"/>
        </w:rPr>
        <w:t>3.</w:t>
      </w:r>
      <w:r>
        <w:rPr>
          <w:rFonts w:hint="default" w:ascii="Times New Roman" w:hAnsi="Times New Roman" w:eastAsia="方正楷体_GBK" w:cs="Times New Roman"/>
          <w:sz w:val="32"/>
          <w:szCs w:val="32"/>
          <w:highlight w:val="none"/>
          <w:shd w:val="clear" w:color="auto" w:fill="FFFFFF"/>
          <w:lang w:eastAsia="zh-CN"/>
        </w:rPr>
        <w:t>信息化建设方面</w:t>
      </w:r>
      <w:bookmarkEnd w:id="14"/>
      <w:bookmarkEnd w:id="15"/>
    </w:p>
    <w:p w14:paraId="486E2758">
      <w:pPr>
        <w:keepNext w:val="0"/>
        <w:keepLines w:val="0"/>
        <w:pageBreakBefore w:val="0"/>
        <w:kinsoku/>
        <w:wordWrap/>
        <w:overflowPunct/>
        <w:topLinePunct w:val="0"/>
        <w:bidi w:val="0"/>
        <w:spacing w:line="560" w:lineRule="exact"/>
        <w:ind w:firstLine="640" w:firstLineChars="200"/>
        <w:textAlignment w:val="auto"/>
        <w:rPr>
          <w:rFonts w:hint="default" w:ascii="Times New Roman" w:hAnsi="Times New Roman" w:eastAsia="方正仿宋_GBK" w:cs="Times New Roman"/>
          <w:sz w:val="32"/>
          <w:szCs w:val="32"/>
          <w:highlight w:val="none"/>
        </w:rPr>
      </w:pPr>
      <w:bookmarkStart w:id="16" w:name="_Toc67503003"/>
      <w:r>
        <w:rPr>
          <w:rFonts w:hint="default" w:ascii="Times New Roman" w:hAnsi="Times New Roman" w:eastAsia="方正仿宋_GBK" w:cs="Times New Roman"/>
          <w:sz w:val="32"/>
          <w:szCs w:val="32"/>
          <w:highlight w:val="none"/>
        </w:rPr>
        <w:t>我厅主要使用新疆财政一体化资产管理系统，</w:t>
      </w:r>
      <w:r>
        <w:rPr>
          <w:rFonts w:hint="default" w:ascii="Times New Roman" w:hAnsi="Times New Roman" w:eastAsia="方正仿宋_GBK" w:cs="Times New Roman"/>
          <w:sz w:val="32"/>
          <w:szCs w:val="32"/>
          <w:highlight w:val="none"/>
          <w:lang w:eastAsia="zh-CN"/>
        </w:rPr>
        <w:t>全方位地反映</w:t>
      </w:r>
      <w:r>
        <w:rPr>
          <w:rFonts w:hint="default" w:ascii="Times New Roman" w:hAnsi="Times New Roman" w:eastAsia="方正仿宋_GBK" w:cs="Times New Roman"/>
          <w:sz w:val="32"/>
          <w:szCs w:val="32"/>
          <w:highlight w:val="none"/>
        </w:rPr>
        <w:t>了各单位的资产总量、分布情况、资产构成、资产变动等信息。</w:t>
      </w:r>
    </w:p>
    <w:p w14:paraId="29DDFACC">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1"/>
        <w:rPr>
          <w:rFonts w:hint="default" w:ascii="Times New Roman" w:hAnsi="Times New Roman" w:eastAsia="方正楷体_GBK" w:cs="Times New Roman"/>
          <w:sz w:val="32"/>
          <w:szCs w:val="32"/>
          <w:highlight w:val="none"/>
          <w:shd w:val="clear" w:color="auto" w:fill="FFFFFF"/>
          <w:lang w:eastAsia="zh-CN"/>
        </w:rPr>
      </w:pPr>
      <w:bookmarkStart w:id="17" w:name="_Toc69718325"/>
      <w:r>
        <w:rPr>
          <w:rFonts w:hint="default" w:ascii="Times New Roman" w:hAnsi="Times New Roman" w:eastAsia="方正楷体_GBK" w:cs="Times New Roman"/>
          <w:sz w:val="32"/>
          <w:szCs w:val="32"/>
          <w:highlight w:val="none"/>
          <w:shd w:val="clear" w:color="auto" w:fill="FFFFFF"/>
          <w:lang w:val="en-US" w:eastAsia="zh-CN"/>
        </w:rPr>
        <w:t>4.</w:t>
      </w:r>
      <w:r>
        <w:rPr>
          <w:rFonts w:hint="default" w:ascii="Times New Roman" w:hAnsi="Times New Roman" w:eastAsia="方正楷体_GBK" w:cs="Times New Roman"/>
          <w:sz w:val="32"/>
          <w:szCs w:val="32"/>
          <w:highlight w:val="none"/>
          <w:shd w:val="clear" w:color="auto" w:fill="FFFFFF"/>
          <w:lang w:eastAsia="zh-CN"/>
        </w:rPr>
        <w:t>流动资产的管理</w:t>
      </w:r>
      <w:bookmarkEnd w:id="16"/>
      <w:bookmarkEnd w:id="17"/>
    </w:p>
    <w:p w14:paraId="225CD6BF">
      <w:pPr>
        <w:keepNext w:val="0"/>
        <w:keepLines w:val="0"/>
        <w:pageBreakBefore w:val="0"/>
        <w:kinsoku/>
        <w:wordWrap/>
        <w:overflowPunct/>
        <w:topLinePunct w:val="0"/>
        <w:bidi w:val="0"/>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lang w:val="en-US" w:eastAsia="zh-CN"/>
        </w:rPr>
        <w:t>1</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对货币资金收支和保管业务建立严格的授权批准制度，办理货币资金业务的不相容岗位分离，相关机构和人员相互制约，确保货币资金的安全。</w:t>
      </w:r>
      <w:r>
        <w:rPr>
          <w:rFonts w:hint="default" w:ascii="Times New Roman" w:hAnsi="Times New Roman" w:eastAsia="方正仿宋_GBK" w:cs="Times New Roman"/>
          <w:sz w:val="32"/>
          <w:szCs w:val="32"/>
          <w:highlight w:val="none"/>
        </w:rPr>
        <w:br w:type="textWrapping"/>
      </w:r>
      <w:r>
        <w:rPr>
          <w:rFonts w:hint="default" w:ascii="Times New Roman" w:hAnsi="Times New Roman" w:eastAsia="方正仿宋_GBK" w:cs="Times New Roman"/>
          <w:sz w:val="32"/>
          <w:szCs w:val="32"/>
          <w:highlight w:val="none"/>
        </w:rPr>
        <w:t xml:space="preserve">    </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lang w:val="en-US" w:eastAsia="zh-CN"/>
        </w:rPr>
        <w:t>2</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建立实物资产管理的岗位责任制度，对实物资产的验收入库、领用、发出、盘点、保管及处置等关键环节进行控制，防止各种实物资产被盗、毁损和流失。</w:t>
      </w:r>
    </w:p>
    <w:p w14:paraId="099B2DEA">
      <w:pPr>
        <w:keepNext w:val="0"/>
        <w:keepLines w:val="0"/>
        <w:pageBreakBefore w:val="0"/>
        <w:kinsoku/>
        <w:wordWrap/>
        <w:overflowPunct/>
        <w:topLinePunct w:val="0"/>
        <w:bidi w:val="0"/>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lang w:val="en-US" w:eastAsia="zh-CN"/>
        </w:rPr>
        <w:t>3</w:t>
      </w:r>
      <w:r>
        <w:rPr>
          <w:rFonts w:hint="default"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合理设置采购与付款业务的机构和岗位，建立和完善采购与付款的会计控制程序，加强请购、审批、合同订立、采购、验收、付款等环节的会计控制，堵塞采购环节的漏洞，减少采购风险。</w:t>
      </w:r>
    </w:p>
    <w:p w14:paraId="431B1C7F">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lang w:val="en-US" w:eastAsia="zh-CN"/>
        </w:rPr>
        <w:t>4</w:t>
      </w: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rPr>
        <w:t>树立风险意识，针对各个风险控制点，建立有效的风险管理系统，对财务风险进行全面防范和控制。</w:t>
      </w:r>
    </w:p>
    <w:p w14:paraId="792457FF">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1"/>
        <w:rPr>
          <w:rFonts w:hint="default" w:ascii="Times New Roman" w:hAnsi="Times New Roman" w:eastAsia="方正楷体_GBK" w:cs="Times New Roman"/>
          <w:sz w:val="32"/>
          <w:szCs w:val="32"/>
          <w:highlight w:val="none"/>
          <w:shd w:val="clear" w:color="auto" w:fill="FFFFFF"/>
          <w:lang w:eastAsia="zh-CN"/>
        </w:rPr>
      </w:pPr>
      <w:bookmarkStart w:id="18" w:name="_Toc69718326"/>
      <w:bookmarkStart w:id="19" w:name="_Toc67503004"/>
      <w:r>
        <w:rPr>
          <w:rFonts w:hint="default" w:ascii="Times New Roman" w:hAnsi="Times New Roman" w:eastAsia="方正楷体_GBK" w:cs="Times New Roman"/>
          <w:sz w:val="32"/>
          <w:szCs w:val="32"/>
          <w:highlight w:val="none"/>
          <w:shd w:val="clear" w:color="auto" w:fill="FFFFFF"/>
          <w:lang w:val="en-US" w:eastAsia="zh-CN"/>
        </w:rPr>
        <w:t>5.</w:t>
      </w:r>
      <w:r>
        <w:rPr>
          <w:rFonts w:hint="default" w:ascii="Times New Roman" w:hAnsi="Times New Roman" w:eastAsia="方正楷体_GBK" w:cs="Times New Roman"/>
          <w:sz w:val="32"/>
          <w:szCs w:val="32"/>
          <w:highlight w:val="none"/>
          <w:shd w:val="clear" w:color="auto" w:fill="FFFFFF"/>
          <w:lang w:eastAsia="zh-CN"/>
        </w:rPr>
        <w:t>固定资产的管理</w:t>
      </w:r>
      <w:bookmarkEnd w:id="18"/>
      <w:bookmarkEnd w:id="19"/>
    </w:p>
    <w:p w14:paraId="0567D3ED">
      <w:pPr>
        <w:keepNext w:val="0"/>
        <w:keepLines w:val="0"/>
        <w:pageBreakBefore w:val="0"/>
        <w:kinsoku/>
        <w:wordWrap/>
        <w:overflowPunct/>
        <w:topLinePunct w:val="0"/>
        <w:bidi w:val="0"/>
        <w:spacing w:line="560" w:lineRule="exact"/>
        <w:ind w:firstLine="640" w:firstLineChars="200"/>
        <w:textAlignment w:val="auto"/>
        <w:outlineLvl w:val="9"/>
        <w:rPr>
          <w:rFonts w:hint="default" w:ascii="Times New Roman" w:hAnsi="Times New Roman" w:eastAsia="方正仿宋_GBK" w:cs="Times New Roman"/>
          <w:sz w:val="32"/>
          <w:szCs w:val="32"/>
          <w:highlight w:val="none"/>
          <w:shd w:val="clear" w:color="auto" w:fill="FFFFFF"/>
        </w:rPr>
      </w:pPr>
      <w:bookmarkStart w:id="20" w:name="_Toc69718327"/>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lang w:val="en-US" w:eastAsia="zh-CN"/>
        </w:rPr>
        <w:t>1</w:t>
      </w: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rPr>
        <w:t>建立健全固定资产管理实施办法，管理机制，组织落实固定资产管理各项工作。强化固定资产配置、使用、处置等关键环节的管控。加强固定资产管理部门与政府采购、财务、人事等部门的沟通协作，形成管理合力。</w:t>
      </w:r>
      <w:bookmarkEnd w:id="20"/>
    </w:p>
    <w:p w14:paraId="03B925E3">
      <w:pPr>
        <w:keepNext w:val="0"/>
        <w:keepLines w:val="0"/>
        <w:pageBreakBefore w:val="0"/>
        <w:kinsoku/>
        <w:wordWrap/>
        <w:overflowPunct/>
        <w:topLinePunct w:val="0"/>
        <w:bidi w:val="0"/>
        <w:spacing w:line="560" w:lineRule="exact"/>
        <w:ind w:firstLine="640" w:firstLineChars="200"/>
        <w:textAlignment w:val="auto"/>
        <w:outlineLvl w:val="9"/>
        <w:rPr>
          <w:rFonts w:hint="default" w:ascii="Times New Roman" w:hAnsi="Times New Roman" w:eastAsia="方正仿宋_GBK" w:cs="Times New Roman"/>
          <w:sz w:val="32"/>
          <w:szCs w:val="32"/>
          <w:highlight w:val="none"/>
          <w:shd w:val="clear" w:color="auto" w:fill="FFFFFF"/>
        </w:rPr>
      </w:pPr>
      <w:bookmarkStart w:id="21" w:name="_Toc69718328"/>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lang w:val="en-US" w:eastAsia="zh-CN"/>
        </w:rPr>
        <w:t>2</w:t>
      </w: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rPr>
        <w:t>严格落实政府会计准则制度等要求，按规定设置固定资产账簿，对固定资产增减变动及时进行会计处理，并定期与固定资产卡片进行核对，确保账卡相符。</w:t>
      </w:r>
      <w:bookmarkEnd w:id="21"/>
    </w:p>
    <w:p w14:paraId="3C16293D">
      <w:pPr>
        <w:keepNext w:val="0"/>
        <w:keepLines w:val="0"/>
        <w:pageBreakBefore w:val="0"/>
        <w:kinsoku/>
        <w:wordWrap/>
        <w:overflowPunct/>
        <w:topLinePunct w:val="0"/>
        <w:bidi w:val="0"/>
        <w:spacing w:line="560" w:lineRule="exact"/>
        <w:ind w:firstLine="640" w:firstLineChars="200"/>
        <w:textAlignment w:val="auto"/>
        <w:outlineLvl w:val="9"/>
        <w:rPr>
          <w:rFonts w:hint="default" w:ascii="Times New Roman" w:hAnsi="Times New Roman" w:eastAsia="方正仿宋_GBK" w:cs="Times New Roman"/>
          <w:sz w:val="32"/>
          <w:szCs w:val="32"/>
          <w:highlight w:val="none"/>
          <w:shd w:val="clear" w:color="auto" w:fill="FFFFFF"/>
        </w:rPr>
      </w:pPr>
      <w:bookmarkStart w:id="22" w:name="_Toc69718329"/>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lang w:val="en-US" w:eastAsia="zh-CN"/>
        </w:rPr>
        <w:t>3</w:t>
      </w: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rPr>
        <w:t>加强固定资产卡片管理，做到有物必登、登记到人、一物一卡、不重不漏。固定资产卡片符合规定格式，载明固定资产基本信息、财务信息以及使用信息。</w:t>
      </w:r>
      <w:bookmarkEnd w:id="22"/>
    </w:p>
    <w:p w14:paraId="05E11289">
      <w:pPr>
        <w:keepNext w:val="0"/>
        <w:keepLines w:val="0"/>
        <w:pageBreakBefore w:val="0"/>
        <w:kinsoku/>
        <w:wordWrap/>
        <w:overflowPunct/>
        <w:topLinePunct w:val="0"/>
        <w:bidi w:val="0"/>
        <w:spacing w:line="560" w:lineRule="exact"/>
        <w:ind w:firstLine="640" w:firstLineChars="200"/>
        <w:textAlignment w:val="auto"/>
        <w:outlineLvl w:val="9"/>
        <w:rPr>
          <w:rFonts w:hint="default" w:ascii="Times New Roman" w:hAnsi="Times New Roman" w:eastAsia="方正仿宋_GBK" w:cs="Times New Roman"/>
          <w:sz w:val="32"/>
          <w:szCs w:val="32"/>
          <w:highlight w:val="none"/>
          <w:shd w:val="clear" w:color="auto" w:fill="FFFFFF"/>
        </w:rPr>
      </w:pPr>
      <w:bookmarkStart w:id="23" w:name="_Toc69718330"/>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lang w:val="en-US" w:eastAsia="zh-CN"/>
        </w:rPr>
        <w:t>4</w:t>
      </w: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rPr>
        <w:t>定期对固定资产进行清查盘点，每年至少盘点一次，全面掌握并真实反映固定资产的数量、价值和使用状况，确保账账相符、账实相符。盘盈固定资产，按照政府会计准则制度等规定合理确定资产价值，按权限报批后登记入账。出现固定资产盘亏，查明原因、及时规范处理。</w:t>
      </w:r>
      <w:r>
        <w:rPr>
          <w:rFonts w:hint="default" w:ascii="Times New Roman" w:hAnsi="Times New Roman" w:eastAsia="方正仿宋_GBK" w:cs="Times New Roman"/>
          <w:sz w:val="32"/>
          <w:szCs w:val="32"/>
          <w:highlight w:val="none"/>
          <w:shd w:val="clear" w:color="auto" w:fill="FFFFFF"/>
        </w:rPr>
        <w:br w:type="textWrapping"/>
      </w:r>
      <w:r>
        <w:rPr>
          <w:rFonts w:hint="default" w:ascii="Times New Roman" w:hAnsi="Times New Roman" w:eastAsia="方正仿宋_GBK" w:cs="Times New Roman"/>
          <w:sz w:val="32"/>
          <w:szCs w:val="32"/>
          <w:highlight w:val="none"/>
          <w:shd w:val="clear" w:color="auto" w:fill="FFFFFF"/>
        </w:rPr>
        <w:t xml:space="preserve">    </w:t>
      </w: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lang w:val="en-US" w:eastAsia="zh-CN"/>
        </w:rPr>
        <w:t>5</w:t>
      </w:r>
      <w:r>
        <w:rPr>
          <w:rFonts w:hint="default" w:ascii="Times New Roman" w:hAnsi="Times New Roman" w:eastAsia="方正仿宋_GBK" w:cs="Times New Roman"/>
          <w:sz w:val="32"/>
          <w:szCs w:val="32"/>
          <w:highlight w:val="none"/>
          <w:shd w:val="clear" w:color="auto" w:fill="FFFFFF"/>
          <w:lang w:eastAsia="zh-CN"/>
        </w:rPr>
        <w:t>）</w:t>
      </w:r>
      <w:r>
        <w:rPr>
          <w:rFonts w:hint="default" w:ascii="Times New Roman" w:hAnsi="Times New Roman" w:eastAsia="方正仿宋_GBK" w:cs="Times New Roman"/>
          <w:sz w:val="32"/>
          <w:szCs w:val="32"/>
          <w:highlight w:val="none"/>
          <w:shd w:val="clear" w:color="auto" w:fill="FFFFFF"/>
        </w:rPr>
        <w:t>切实做好固定资产产权管理，及时办理土地、房屋、车辆等固定资产权属证书，资产变动应办理权证变更登记，避免权属不清。涉及产权纠纷或不清晰的固定资产，按照产权管理规定，厘清产权关系。</w:t>
      </w:r>
      <w:bookmarkEnd w:id="23"/>
    </w:p>
    <w:p w14:paraId="6E215669">
      <w:pPr>
        <w:pStyle w:val="2"/>
        <w:keepNext w:val="0"/>
        <w:keepLines w:val="0"/>
        <w:pageBreakBefore w:val="0"/>
        <w:kinsoku/>
        <w:wordWrap/>
        <w:overflowPunct/>
        <w:topLinePunct w:val="0"/>
        <w:bidi w:val="0"/>
        <w:spacing w:after="0" w:line="560" w:lineRule="exact"/>
        <w:ind w:left="0" w:leftChars="0" w:firstLine="640"/>
        <w:textAlignment w:val="auto"/>
        <w:rPr>
          <w:rFonts w:hint="default" w:ascii="Times New Roman" w:hAnsi="Times New Roman" w:eastAsia="方正仿宋_GBK" w:cs="Times New Roman"/>
          <w:color w:val="auto"/>
          <w:spacing w:val="-4"/>
          <w:kern w:val="2"/>
          <w:sz w:val="32"/>
          <w:szCs w:val="32"/>
          <w:highlight w:val="none"/>
        </w:rPr>
      </w:pPr>
      <w:r>
        <w:rPr>
          <w:rFonts w:hint="default" w:ascii="Times New Roman" w:hAnsi="Times New Roman" w:eastAsia="方正仿宋_GBK" w:cs="Times New Roman"/>
          <w:color w:val="auto"/>
          <w:szCs w:val="32"/>
          <w:highlight w:val="none"/>
          <w:shd w:val="clear" w:color="auto" w:fill="FFFFFF"/>
        </w:rPr>
        <w:t>我厅按照行政事业单位国有资产管理办法，配套制定了厅系统相关管理办法，在资产配置、资产使用、资产处置等方面全方位规范化管理，形成了从预算开始的全过程资产管理体系。</w:t>
      </w:r>
    </w:p>
    <w:p w14:paraId="43EFE9AD">
      <w:pPr>
        <w:pStyle w:val="22"/>
        <w:keepNext w:val="0"/>
        <w:keepLines w:val="0"/>
        <w:pageBreakBefore w:val="0"/>
        <w:numPr>
          <w:ilvl w:val="0"/>
          <w:numId w:val="2"/>
        </w:numPr>
        <w:kinsoku/>
        <w:wordWrap/>
        <w:overflowPunct/>
        <w:topLinePunct w:val="0"/>
        <w:bidi w:val="0"/>
        <w:spacing w:line="560" w:lineRule="exact"/>
        <w:ind w:firstLineChars="200"/>
        <w:jc w:val="both"/>
        <w:textAlignment w:val="auto"/>
        <w:outlineLvl w:val="0"/>
        <w:rPr>
          <w:rFonts w:hint="default" w:ascii="Times New Roman" w:hAnsi="Times New Roman" w:eastAsia="方正黑体_GBK" w:cs="Times New Roman"/>
          <w:color w:val="auto"/>
          <w:highlight w:val="none"/>
        </w:rPr>
      </w:pPr>
      <w:r>
        <w:rPr>
          <w:rFonts w:hint="default" w:ascii="Times New Roman" w:hAnsi="Times New Roman" w:eastAsia="方正黑体_GBK" w:cs="Times New Roman"/>
          <w:color w:val="auto"/>
          <w:highlight w:val="none"/>
        </w:rPr>
        <w:t>部门单位整体支出绩效分析</w:t>
      </w:r>
    </w:p>
    <w:p w14:paraId="3058A960">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1"/>
        <w:rPr>
          <w:rFonts w:hint="default" w:ascii="Times New Roman" w:hAnsi="Times New Roman" w:eastAsia="方正楷体_GBK" w:cs="Times New Roman"/>
          <w:sz w:val="32"/>
          <w:szCs w:val="32"/>
          <w:highlight w:val="none"/>
          <w:shd w:val="clear" w:color="auto" w:fill="FFFFFF"/>
          <w:lang w:val="en-US" w:eastAsia="zh-CN"/>
        </w:rPr>
      </w:pPr>
      <w:r>
        <w:rPr>
          <w:rFonts w:hint="default" w:ascii="Times New Roman" w:hAnsi="Times New Roman" w:eastAsia="方正楷体_GBK" w:cs="Times New Roman"/>
          <w:sz w:val="32"/>
          <w:szCs w:val="32"/>
          <w:highlight w:val="none"/>
          <w:shd w:val="clear" w:color="auto" w:fill="FFFFFF"/>
          <w:lang w:val="en-US" w:eastAsia="zh-CN"/>
        </w:rPr>
        <w:t>（一）部门单位整体支出绩效指标完成情况</w:t>
      </w:r>
    </w:p>
    <w:p w14:paraId="769C4202">
      <w:pPr>
        <w:pStyle w:val="23"/>
        <w:keepNext w:val="0"/>
        <w:keepLines w:val="0"/>
        <w:pageBreakBefore w:val="0"/>
        <w:kinsoku/>
        <w:wordWrap/>
        <w:overflowPunct/>
        <w:topLinePunct w:val="0"/>
        <w:bidi w:val="0"/>
        <w:spacing w:line="560" w:lineRule="exact"/>
        <w:ind w:firstLine="624" w:firstLineChars="200"/>
        <w:textAlignment w:val="auto"/>
        <w:outlineLvl w:val="2"/>
        <w:rPr>
          <w:rFonts w:hint="default" w:ascii="Times New Roman" w:hAnsi="Times New Roman" w:eastAsia="方正仿宋_GBK" w:cs="Times New Roman"/>
          <w:color w:val="auto"/>
          <w:spacing w:val="-4"/>
          <w:sz w:val="32"/>
          <w:szCs w:val="32"/>
          <w:highlight w:val="none"/>
        </w:rPr>
      </w:pPr>
      <w:r>
        <w:rPr>
          <w:rFonts w:hint="default" w:ascii="Times New Roman" w:hAnsi="Times New Roman" w:eastAsia="方正仿宋_GBK" w:cs="Times New Roman"/>
          <w:color w:val="auto"/>
          <w:spacing w:val="-4"/>
          <w:sz w:val="32"/>
          <w:szCs w:val="32"/>
          <w:highlight w:val="none"/>
          <w:lang w:val="en-US" w:eastAsia="zh-CN"/>
        </w:rPr>
        <w:t>1.</w:t>
      </w:r>
      <w:r>
        <w:rPr>
          <w:rFonts w:hint="default" w:ascii="Times New Roman" w:hAnsi="Times New Roman" w:eastAsia="方正仿宋_GBK" w:cs="Times New Roman"/>
          <w:color w:val="auto"/>
          <w:spacing w:val="-4"/>
          <w:sz w:val="32"/>
          <w:szCs w:val="32"/>
          <w:highlight w:val="none"/>
        </w:rPr>
        <w:t>项目效益性分析</w:t>
      </w:r>
    </w:p>
    <w:p w14:paraId="714C0D66">
      <w:pPr>
        <w:pStyle w:val="23"/>
        <w:keepNext w:val="0"/>
        <w:keepLines w:val="0"/>
        <w:pageBreakBefore w:val="0"/>
        <w:kinsoku/>
        <w:wordWrap/>
        <w:overflowPunct/>
        <w:topLinePunct w:val="0"/>
        <w:bidi w:val="0"/>
        <w:spacing w:line="560" w:lineRule="exact"/>
        <w:ind w:firstLine="624" w:firstLineChars="200"/>
        <w:textAlignment w:val="auto"/>
        <w:rPr>
          <w:rFonts w:hint="default" w:ascii="Times New Roman" w:hAnsi="Times New Roman" w:eastAsia="方正仿宋_GBK" w:cs="Times New Roman"/>
          <w:color w:val="auto"/>
          <w:spacing w:val="-4"/>
          <w:sz w:val="32"/>
          <w:szCs w:val="32"/>
          <w:highlight w:val="none"/>
        </w:rPr>
      </w:pPr>
      <w:r>
        <w:rPr>
          <w:rFonts w:hint="default" w:ascii="Times New Roman" w:hAnsi="Times New Roman" w:eastAsia="方正仿宋_GBK" w:cs="Times New Roman"/>
          <w:color w:val="auto"/>
          <w:spacing w:val="-4"/>
          <w:sz w:val="32"/>
          <w:szCs w:val="32"/>
          <w:highlight w:val="none"/>
        </w:rPr>
        <w:t>自治区交通运输厅整体支出共设置一级指标</w:t>
      </w:r>
      <w:r>
        <w:rPr>
          <w:rFonts w:hint="eastAsia" w:ascii="Times New Roman" w:hAnsi="Times New Roman" w:eastAsia="方正仿宋_GBK" w:cs="Times New Roman"/>
          <w:color w:val="auto"/>
          <w:spacing w:val="-4"/>
          <w:sz w:val="32"/>
          <w:szCs w:val="32"/>
          <w:highlight w:val="none"/>
          <w:lang w:val="en-US" w:eastAsia="zh-CN"/>
        </w:rPr>
        <w:t>2</w:t>
      </w:r>
      <w:r>
        <w:rPr>
          <w:rFonts w:hint="default" w:ascii="Times New Roman" w:hAnsi="Times New Roman" w:eastAsia="方正仿宋_GBK" w:cs="Times New Roman"/>
          <w:color w:val="auto"/>
          <w:spacing w:val="-4"/>
          <w:sz w:val="32"/>
          <w:szCs w:val="32"/>
          <w:highlight w:val="none"/>
        </w:rPr>
        <w:t>个，二级指标</w:t>
      </w:r>
      <w:r>
        <w:rPr>
          <w:rFonts w:hint="eastAsia" w:ascii="Times New Roman" w:hAnsi="Times New Roman" w:eastAsia="方正仿宋_GBK" w:cs="Times New Roman"/>
          <w:color w:val="auto"/>
          <w:spacing w:val="-4"/>
          <w:sz w:val="32"/>
          <w:szCs w:val="32"/>
          <w:highlight w:val="none"/>
          <w:lang w:val="en-US" w:eastAsia="zh-CN"/>
        </w:rPr>
        <w:t>7</w:t>
      </w:r>
      <w:r>
        <w:rPr>
          <w:rFonts w:hint="default" w:ascii="Times New Roman" w:hAnsi="Times New Roman" w:eastAsia="方正仿宋_GBK" w:cs="Times New Roman"/>
          <w:color w:val="auto"/>
          <w:spacing w:val="-4"/>
          <w:sz w:val="32"/>
          <w:szCs w:val="32"/>
          <w:highlight w:val="none"/>
        </w:rPr>
        <w:t>个，三级指标</w:t>
      </w:r>
      <w:r>
        <w:rPr>
          <w:rFonts w:hint="eastAsia" w:ascii="Times New Roman" w:hAnsi="Times New Roman" w:eastAsia="方正仿宋_GBK" w:cs="Times New Roman"/>
          <w:color w:val="auto"/>
          <w:spacing w:val="-4"/>
          <w:sz w:val="32"/>
          <w:szCs w:val="32"/>
          <w:highlight w:val="none"/>
          <w:lang w:val="en-US" w:eastAsia="zh-CN"/>
        </w:rPr>
        <w:t>7</w:t>
      </w:r>
      <w:r>
        <w:rPr>
          <w:rFonts w:hint="default" w:ascii="Times New Roman" w:hAnsi="Times New Roman" w:eastAsia="方正仿宋_GBK" w:cs="Times New Roman"/>
          <w:color w:val="auto"/>
          <w:spacing w:val="-4"/>
          <w:sz w:val="32"/>
          <w:szCs w:val="32"/>
          <w:highlight w:val="none"/>
        </w:rPr>
        <w:t>个，指标完成率为</w:t>
      </w:r>
      <w:r>
        <w:rPr>
          <w:rFonts w:hint="eastAsia" w:ascii="Times New Roman" w:hAnsi="Times New Roman" w:eastAsia="方正仿宋_GBK" w:cs="Times New Roman"/>
          <w:color w:val="auto"/>
          <w:spacing w:val="-4"/>
          <w:sz w:val="32"/>
          <w:szCs w:val="32"/>
          <w:highlight w:val="none"/>
          <w:lang w:val="en-US" w:eastAsia="zh-CN"/>
        </w:rPr>
        <w:t>96.49</w:t>
      </w:r>
      <w:r>
        <w:rPr>
          <w:rFonts w:hint="default" w:ascii="Times New Roman" w:hAnsi="Times New Roman" w:eastAsia="方正仿宋_GBK" w:cs="Times New Roman"/>
          <w:color w:val="auto"/>
          <w:spacing w:val="-4"/>
          <w:sz w:val="32"/>
          <w:szCs w:val="32"/>
          <w:highlight w:val="none"/>
        </w:rPr>
        <w:t>%。</w:t>
      </w:r>
    </w:p>
    <w:p w14:paraId="20A5C15C">
      <w:pPr>
        <w:pStyle w:val="23"/>
        <w:keepNext w:val="0"/>
        <w:keepLines w:val="0"/>
        <w:pageBreakBefore w:val="0"/>
        <w:kinsoku/>
        <w:wordWrap/>
        <w:overflowPunct/>
        <w:topLinePunct w:val="0"/>
        <w:bidi w:val="0"/>
        <w:spacing w:line="560" w:lineRule="exact"/>
        <w:ind w:firstLine="624" w:firstLineChars="200"/>
        <w:textAlignment w:val="auto"/>
        <w:rPr>
          <w:rFonts w:hint="default" w:ascii="Times New Roman" w:hAnsi="Times New Roman" w:eastAsia="方正仿宋_GBK" w:cs="Times New Roman"/>
          <w:color w:val="auto"/>
          <w:spacing w:val="-4"/>
          <w:sz w:val="32"/>
          <w:szCs w:val="32"/>
          <w:highlight w:val="none"/>
        </w:rPr>
      </w:pPr>
      <w:r>
        <w:rPr>
          <w:rFonts w:hint="default" w:ascii="Times New Roman" w:hAnsi="Times New Roman" w:eastAsia="方正仿宋_GBK" w:cs="Times New Roman"/>
          <w:color w:val="auto"/>
          <w:spacing w:val="-4"/>
          <w:sz w:val="32"/>
          <w:szCs w:val="32"/>
          <w:highlight w:val="none"/>
        </w:rPr>
        <w:t>（1）预期目标完成程度</w:t>
      </w:r>
    </w:p>
    <w:p w14:paraId="375F2DA1">
      <w:pPr>
        <w:pStyle w:val="23"/>
        <w:keepNext w:val="0"/>
        <w:keepLines w:val="0"/>
        <w:pageBreakBefore w:val="0"/>
        <w:kinsoku/>
        <w:wordWrap/>
        <w:overflowPunct/>
        <w:topLinePunct w:val="0"/>
        <w:bidi w:val="0"/>
        <w:spacing w:line="560" w:lineRule="exact"/>
        <w:ind w:firstLine="640" w:firstLineChars="200"/>
        <w:textAlignment w:val="auto"/>
        <w:outlineLvl w:val="9"/>
        <w:rPr>
          <w:rFonts w:hint="default" w:ascii="Times New Roman" w:hAnsi="Times New Roman" w:eastAsia="方正仿宋_GBK" w:cs="Times New Roman"/>
          <w:sz w:val="32"/>
          <w:szCs w:val="32"/>
          <w:highlight w:val="none"/>
        </w:rPr>
      </w:pPr>
      <w:bookmarkStart w:id="24" w:name="_Toc68624834"/>
      <w:bookmarkStart w:id="25" w:name="_Toc69718318"/>
      <w:r>
        <w:rPr>
          <w:rFonts w:hint="default" w:ascii="Times New Roman" w:hAnsi="Times New Roman" w:eastAsia="方正仿宋_GBK" w:cs="Times New Roman"/>
          <w:sz w:val="32"/>
          <w:szCs w:val="32"/>
          <w:highlight w:val="none"/>
        </w:rPr>
        <w:t>交通运输厅整体支出年度总体目标较好完成。全年完成交通基础设施投资</w:t>
      </w:r>
      <w:r>
        <w:rPr>
          <w:rFonts w:hint="eastAsia" w:ascii="Times New Roman" w:hAnsi="Times New Roman" w:eastAsia="方正仿宋_GBK" w:cs="Times New Roman"/>
          <w:sz w:val="32"/>
          <w:szCs w:val="32"/>
          <w:highlight w:val="none"/>
          <w:lang w:val="en-US" w:eastAsia="zh-CN"/>
        </w:rPr>
        <w:t>812.17</w:t>
      </w:r>
      <w:r>
        <w:rPr>
          <w:rFonts w:hint="default" w:ascii="Times New Roman" w:hAnsi="Times New Roman" w:eastAsia="方正仿宋_GBK" w:cs="Times New Roman"/>
          <w:sz w:val="32"/>
          <w:szCs w:val="32"/>
          <w:highlight w:val="none"/>
        </w:rPr>
        <w:t>亿元，交通运输厅整体支出年度总体目标较好完成。全年完成公路交通固定资产投资812.17亿元，建成27个国省干线项目，新增1条进出疆通道和5个县、1个口岸、20个3A级及以上景区通高速（一级）公路，实现G331线自治区境内1443公路贯通，世界级工程乌尉高速通车运营。完成国省干线3883处平交道口、2102处护栏端头政治，实施危桥改造39座、安全设施精细化提升1394公里、灾害防治306公里。安全发展能力得到新提升，路网建设实现新跨越。</w:t>
      </w:r>
    </w:p>
    <w:p w14:paraId="5B4F2459">
      <w:pPr>
        <w:pStyle w:val="23"/>
        <w:keepNext w:val="0"/>
        <w:keepLines w:val="0"/>
        <w:pageBreakBefore w:val="0"/>
        <w:kinsoku/>
        <w:wordWrap/>
        <w:overflowPunct/>
        <w:topLinePunct w:val="0"/>
        <w:bidi w:val="0"/>
        <w:spacing w:line="560" w:lineRule="exact"/>
        <w:ind w:firstLine="624" w:firstLineChars="200"/>
        <w:textAlignment w:val="auto"/>
        <w:outlineLvl w:val="9"/>
        <w:rPr>
          <w:rFonts w:hint="default" w:ascii="Times New Roman" w:hAnsi="Times New Roman" w:eastAsia="方正仿宋_GBK" w:cs="Times New Roman"/>
          <w:color w:val="auto"/>
          <w:spacing w:val="-4"/>
          <w:sz w:val="32"/>
          <w:szCs w:val="32"/>
          <w:highlight w:val="none"/>
        </w:rPr>
      </w:pPr>
      <w:r>
        <w:rPr>
          <w:rFonts w:hint="default" w:ascii="Times New Roman" w:hAnsi="Times New Roman" w:eastAsia="方正仿宋_GBK" w:cs="Times New Roman"/>
          <w:color w:val="auto"/>
          <w:spacing w:val="-4"/>
          <w:sz w:val="32"/>
          <w:szCs w:val="32"/>
          <w:highlight w:val="none"/>
        </w:rPr>
        <w:t>（2）管理效率完成情况分析</w:t>
      </w:r>
      <w:bookmarkEnd w:id="24"/>
      <w:bookmarkEnd w:id="25"/>
    </w:p>
    <w:p w14:paraId="1EAE72BF">
      <w:pPr>
        <w:pStyle w:val="2"/>
        <w:keepNext w:val="0"/>
        <w:keepLines w:val="0"/>
        <w:pageBreakBefore w:val="0"/>
        <w:kinsoku/>
        <w:wordWrap/>
        <w:overflowPunct/>
        <w:topLinePunct w:val="0"/>
        <w:bidi w:val="0"/>
        <w:spacing w:after="0" w:line="560" w:lineRule="exact"/>
        <w:ind w:left="0" w:leftChars="0" w:firstLine="624" w:firstLineChars="200"/>
        <w:textAlignment w:val="auto"/>
        <w:rPr>
          <w:rFonts w:hint="default" w:ascii="Times New Roman" w:hAnsi="Times New Roman" w:eastAsia="方正仿宋_GBK" w:cs="Times New Roman"/>
          <w:color w:val="auto"/>
          <w:spacing w:val="-4"/>
          <w:szCs w:val="32"/>
          <w:highlight w:val="none"/>
        </w:rPr>
      </w:pPr>
      <w:r>
        <w:rPr>
          <w:rFonts w:hint="default" w:ascii="Times New Roman" w:hAnsi="Times New Roman" w:eastAsia="方正仿宋_GBK" w:cs="Times New Roman"/>
          <w:color w:val="auto"/>
          <w:spacing w:val="-4"/>
          <w:szCs w:val="32"/>
          <w:highlight w:val="none"/>
        </w:rPr>
        <w:t xml:space="preserve">数量指标  </w:t>
      </w:r>
    </w:p>
    <w:p w14:paraId="31F2E40C">
      <w:pPr>
        <w:pStyle w:val="2"/>
        <w:keepNext w:val="0"/>
        <w:keepLines w:val="0"/>
        <w:pageBreakBefore w:val="0"/>
        <w:kinsoku/>
        <w:wordWrap/>
        <w:overflowPunct/>
        <w:topLinePunct w:val="0"/>
        <w:bidi w:val="0"/>
        <w:spacing w:after="0" w:line="560" w:lineRule="exact"/>
        <w:ind w:left="0" w:leftChars="0" w:firstLine="624" w:firstLineChars="200"/>
        <w:textAlignment w:val="auto"/>
        <w:rPr>
          <w:rFonts w:hint="default" w:ascii="Times New Roman" w:hAnsi="Times New Roman" w:eastAsia="方正仿宋_GBK" w:cs="Times New Roman"/>
          <w:color w:val="auto"/>
          <w:spacing w:val="-4"/>
          <w:szCs w:val="32"/>
          <w:highlight w:val="none"/>
          <w:lang w:val="en-US" w:eastAsia="zh-CN"/>
        </w:rPr>
      </w:pPr>
      <w:r>
        <w:rPr>
          <w:rFonts w:hint="default" w:ascii="Times New Roman" w:hAnsi="Times New Roman" w:eastAsia="方正仿宋_GBK" w:cs="Times New Roman"/>
          <w:color w:val="auto"/>
          <w:spacing w:val="-4"/>
          <w:szCs w:val="32"/>
          <w:highlight w:val="none"/>
        </w:rPr>
        <w:t>①“保障全年公路养护总里程”指标，指标值为≥19000公里，完成值为19237公里，完成率为10</w:t>
      </w:r>
      <w:r>
        <w:rPr>
          <w:rFonts w:hint="eastAsia" w:ascii="Times New Roman" w:hAnsi="Times New Roman" w:eastAsia="方正仿宋_GBK" w:cs="Times New Roman"/>
          <w:color w:val="auto"/>
          <w:spacing w:val="-4"/>
          <w:szCs w:val="32"/>
          <w:highlight w:val="none"/>
          <w:lang w:val="en-US" w:eastAsia="zh-CN"/>
        </w:rPr>
        <w:t>6</w:t>
      </w:r>
      <w:r>
        <w:rPr>
          <w:rFonts w:hint="default" w:ascii="Times New Roman" w:hAnsi="Times New Roman" w:eastAsia="方正仿宋_GBK" w:cs="Times New Roman"/>
          <w:color w:val="auto"/>
          <w:spacing w:val="-4"/>
          <w:szCs w:val="32"/>
          <w:highlight w:val="none"/>
        </w:rPr>
        <w:t>.</w:t>
      </w:r>
      <w:r>
        <w:rPr>
          <w:rFonts w:hint="eastAsia" w:ascii="Times New Roman" w:hAnsi="Times New Roman" w:eastAsia="方正仿宋_GBK" w:cs="Times New Roman"/>
          <w:color w:val="auto"/>
          <w:spacing w:val="-4"/>
          <w:szCs w:val="32"/>
          <w:highlight w:val="none"/>
          <w:lang w:val="en-US" w:eastAsia="zh-CN"/>
        </w:rPr>
        <w:t>87</w:t>
      </w:r>
      <w:r>
        <w:rPr>
          <w:rFonts w:hint="default" w:ascii="Times New Roman" w:hAnsi="Times New Roman" w:eastAsia="方正仿宋_GBK" w:cs="Times New Roman"/>
          <w:color w:val="auto"/>
          <w:spacing w:val="-4"/>
          <w:szCs w:val="32"/>
          <w:highlight w:val="none"/>
        </w:rPr>
        <w:t>%</w:t>
      </w:r>
      <w:r>
        <w:rPr>
          <w:rFonts w:hint="default" w:ascii="Times New Roman" w:hAnsi="Times New Roman" w:eastAsia="方正仿宋_GBK" w:cs="Times New Roman"/>
          <w:color w:val="auto"/>
          <w:spacing w:val="-4"/>
          <w:szCs w:val="32"/>
          <w:highlight w:val="none"/>
          <w:lang w:eastAsia="zh-CN"/>
        </w:rPr>
        <w:t>。</w:t>
      </w:r>
      <w:r>
        <w:rPr>
          <w:rFonts w:hint="eastAsia" w:ascii="Times New Roman" w:hAnsi="Times New Roman" w:eastAsia="方正仿宋_GBK" w:cs="Times New Roman"/>
          <w:color w:val="auto"/>
          <w:spacing w:val="-4"/>
          <w:szCs w:val="32"/>
          <w:highlight w:val="none"/>
          <w:lang w:val="en-US" w:eastAsia="zh-CN"/>
        </w:rPr>
        <w:t>为自治区经济社会高质量发展提供坚实有力的公路服务保障，更为推动美丽新疆建设贡献公路力量。</w:t>
      </w:r>
    </w:p>
    <w:p w14:paraId="4113505C">
      <w:pPr>
        <w:pStyle w:val="2"/>
        <w:keepNext w:val="0"/>
        <w:keepLines w:val="0"/>
        <w:pageBreakBefore w:val="0"/>
        <w:kinsoku/>
        <w:wordWrap/>
        <w:overflowPunct/>
        <w:topLinePunct w:val="0"/>
        <w:bidi w:val="0"/>
        <w:spacing w:after="0" w:line="560" w:lineRule="exact"/>
        <w:ind w:left="0" w:leftChars="0" w:firstLine="624" w:firstLineChars="200"/>
        <w:textAlignment w:val="auto"/>
        <w:rPr>
          <w:rFonts w:hint="default" w:ascii="Times New Roman" w:hAnsi="Times New Roman" w:eastAsia="方正仿宋_GBK" w:cs="Times New Roman"/>
          <w:color w:val="auto"/>
          <w:spacing w:val="-4"/>
          <w:szCs w:val="32"/>
          <w:highlight w:val="none"/>
          <w:lang w:eastAsia="zh-CN"/>
        </w:rPr>
      </w:pPr>
      <w:r>
        <w:rPr>
          <w:rFonts w:hint="default" w:ascii="Times New Roman" w:hAnsi="Times New Roman" w:eastAsia="方正仿宋_GBK" w:cs="Times New Roman"/>
          <w:color w:val="auto"/>
          <w:spacing w:val="-4"/>
          <w:szCs w:val="32"/>
          <w:highlight w:val="none"/>
        </w:rPr>
        <w:t>②“国省道沥青路面技术状况检测覆盖率”指标，指标值为=100%，完成值为100%，完成率为100%</w:t>
      </w:r>
      <w:r>
        <w:rPr>
          <w:rFonts w:hint="default" w:ascii="Times New Roman" w:hAnsi="Times New Roman" w:eastAsia="方正仿宋_GBK" w:cs="Times New Roman"/>
          <w:color w:val="auto"/>
          <w:spacing w:val="-4"/>
          <w:szCs w:val="32"/>
          <w:highlight w:val="none"/>
          <w:lang w:eastAsia="zh-CN"/>
        </w:rPr>
        <w:t>。</w:t>
      </w:r>
    </w:p>
    <w:p w14:paraId="738FBBEE">
      <w:pPr>
        <w:pStyle w:val="23"/>
        <w:keepNext w:val="0"/>
        <w:keepLines w:val="0"/>
        <w:pageBreakBefore w:val="0"/>
        <w:kinsoku/>
        <w:wordWrap/>
        <w:overflowPunct/>
        <w:topLinePunct w:val="0"/>
        <w:bidi w:val="0"/>
        <w:spacing w:line="560" w:lineRule="exact"/>
        <w:ind w:firstLine="624" w:firstLineChars="200"/>
        <w:textAlignment w:val="auto"/>
        <w:outlineLvl w:val="9"/>
        <w:rPr>
          <w:rFonts w:hint="default" w:ascii="Times New Roman" w:hAnsi="Times New Roman" w:eastAsia="方正仿宋_GBK" w:cs="Times New Roman"/>
          <w:color w:val="auto"/>
          <w:spacing w:val="-4"/>
          <w:sz w:val="32"/>
          <w:szCs w:val="32"/>
          <w:highlight w:val="none"/>
        </w:rPr>
      </w:pPr>
      <w:r>
        <w:rPr>
          <w:rFonts w:hint="default" w:ascii="Times New Roman" w:hAnsi="Times New Roman" w:eastAsia="方正仿宋_GBK" w:cs="Times New Roman"/>
          <w:color w:val="auto"/>
          <w:spacing w:val="-4"/>
          <w:sz w:val="32"/>
          <w:szCs w:val="32"/>
          <w:highlight w:val="none"/>
        </w:rPr>
        <w:t>（3）履职效能完成情况分析</w:t>
      </w:r>
    </w:p>
    <w:p w14:paraId="486E4217">
      <w:pPr>
        <w:pStyle w:val="2"/>
        <w:keepNext w:val="0"/>
        <w:keepLines w:val="0"/>
        <w:pageBreakBefore w:val="0"/>
        <w:kinsoku/>
        <w:wordWrap/>
        <w:overflowPunct/>
        <w:topLinePunct w:val="0"/>
        <w:bidi w:val="0"/>
        <w:spacing w:after="0" w:line="560" w:lineRule="exact"/>
        <w:ind w:left="0" w:leftChars="0" w:firstLine="624" w:firstLineChars="200"/>
        <w:textAlignment w:val="auto"/>
        <w:rPr>
          <w:rFonts w:hint="default" w:ascii="Times New Roman" w:hAnsi="Times New Roman" w:eastAsia="方正仿宋_GBK" w:cs="Times New Roman"/>
          <w:color w:val="auto"/>
          <w:spacing w:val="-4"/>
          <w:szCs w:val="32"/>
          <w:highlight w:val="none"/>
        </w:rPr>
      </w:pPr>
      <w:r>
        <w:rPr>
          <w:rFonts w:hint="default" w:ascii="Times New Roman" w:hAnsi="Times New Roman" w:eastAsia="方正仿宋_GBK" w:cs="Times New Roman"/>
          <w:color w:val="auto"/>
          <w:spacing w:val="-4"/>
          <w:szCs w:val="32"/>
          <w:highlight w:val="none"/>
        </w:rPr>
        <w:t>数量指标</w:t>
      </w:r>
    </w:p>
    <w:p w14:paraId="1C7F67D3">
      <w:pPr>
        <w:pStyle w:val="2"/>
        <w:keepNext w:val="0"/>
        <w:keepLines w:val="0"/>
        <w:pageBreakBefore w:val="0"/>
        <w:kinsoku/>
        <w:wordWrap/>
        <w:overflowPunct/>
        <w:topLinePunct w:val="0"/>
        <w:bidi w:val="0"/>
        <w:spacing w:after="0" w:line="560" w:lineRule="exact"/>
        <w:ind w:left="0" w:leftChars="0" w:firstLine="624"/>
        <w:textAlignment w:val="auto"/>
        <w:rPr>
          <w:rFonts w:hint="default" w:ascii="Times New Roman" w:hAnsi="Times New Roman" w:eastAsia="方正仿宋_GBK" w:cs="Times New Roman"/>
          <w:color w:val="auto"/>
          <w:spacing w:val="-4"/>
          <w:szCs w:val="32"/>
          <w:highlight w:val="none"/>
          <w:lang w:val="en-US" w:eastAsia="zh-CN"/>
        </w:rPr>
      </w:pPr>
      <w:r>
        <w:rPr>
          <w:rFonts w:hint="default" w:ascii="Times New Roman" w:hAnsi="Times New Roman" w:eastAsia="方正仿宋_GBK" w:cs="Times New Roman"/>
          <w:color w:val="auto"/>
          <w:spacing w:val="-4"/>
          <w:szCs w:val="32"/>
          <w:highlight w:val="none"/>
        </w:rPr>
        <w:t>①“完成公路交通基础设施投资”指标，指标值为≥</w:t>
      </w:r>
      <w:r>
        <w:rPr>
          <w:rFonts w:hint="eastAsia" w:ascii="Times New Roman" w:hAnsi="Times New Roman" w:eastAsia="方正仿宋_GBK" w:cs="Times New Roman"/>
          <w:color w:val="auto"/>
          <w:spacing w:val="-4"/>
          <w:szCs w:val="32"/>
          <w:highlight w:val="none"/>
          <w:lang w:val="en-US" w:eastAsia="zh-CN"/>
        </w:rPr>
        <w:t>800</w:t>
      </w:r>
      <w:r>
        <w:rPr>
          <w:rFonts w:hint="default" w:ascii="Times New Roman" w:hAnsi="Times New Roman" w:eastAsia="方正仿宋_GBK" w:cs="Times New Roman"/>
          <w:color w:val="auto"/>
          <w:spacing w:val="-4"/>
          <w:szCs w:val="32"/>
          <w:highlight w:val="none"/>
        </w:rPr>
        <w:t>亿元，完成值为</w:t>
      </w:r>
      <w:r>
        <w:rPr>
          <w:rFonts w:hint="eastAsia" w:ascii="Times New Roman" w:hAnsi="Times New Roman" w:eastAsia="方正仿宋_GBK" w:cs="Times New Roman"/>
          <w:color w:val="auto"/>
          <w:spacing w:val="-4"/>
          <w:szCs w:val="32"/>
          <w:highlight w:val="none"/>
          <w:lang w:val="en-US" w:eastAsia="zh-CN"/>
        </w:rPr>
        <w:t>812.17</w:t>
      </w:r>
      <w:r>
        <w:rPr>
          <w:rFonts w:hint="default" w:ascii="Times New Roman" w:hAnsi="Times New Roman" w:eastAsia="方正仿宋_GBK" w:cs="Times New Roman"/>
          <w:color w:val="auto"/>
          <w:spacing w:val="-4"/>
          <w:szCs w:val="32"/>
          <w:highlight w:val="none"/>
        </w:rPr>
        <w:t>亿元，完成率为10</w:t>
      </w:r>
      <w:r>
        <w:rPr>
          <w:rFonts w:hint="eastAsia" w:ascii="Times New Roman" w:hAnsi="Times New Roman" w:eastAsia="方正仿宋_GBK" w:cs="Times New Roman"/>
          <w:color w:val="auto"/>
          <w:spacing w:val="-4"/>
          <w:szCs w:val="32"/>
          <w:highlight w:val="none"/>
          <w:lang w:val="en-US" w:eastAsia="zh-CN"/>
        </w:rPr>
        <w:t>1</w:t>
      </w:r>
      <w:r>
        <w:rPr>
          <w:rFonts w:hint="default" w:ascii="Times New Roman" w:hAnsi="Times New Roman" w:eastAsia="方正仿宋_GBK" w:cs="Times New Roman"/>
          <w:color w:val="auto"/>
          <w:spacing w:val="-4"/>
          <w:szCs w:val="32"/>
          <w:highlight w:val="none"/>
        </w:rPr>
        <w:t>.</w:t>
      </w:r>
      <w:r>
        <w:rPr>
          <w:rFonts w:hint="eastAsia" w:ascii="Times New Roman" w:hAnsi="Times New Roman" w:eastAsia="方正仿宋_GBK" w:cs="Times New Roman"/>
          <w:color w:val="auto"/>
          <w:spacing w:val="-4"/>
          <w:szCs w:val="32"/>
          <w:highlight w:val="none"/>
          <w:lang w:val="en-US" w:eastAsia="zh-CN"/>
        </w:rPr>
        <w:t>52</w:t>
      </w:r>
      <w:r>
        <w:rPr>
          <w:rFonts w:hint="default" w:ascii="Times New Roman" w:hAnsi="Times New Roman" w:eastAsia="方正仿宋_GBK" w:cs="Times New Roman"/>
          <w:color w:val="auto"/>
          <w:spacing w:val="-4"/>
          <w:szCs w:val="32"/>
          <w:highlight w:val="none"/>
        </w:rPr>
        <w:t>%。</w:t>
      </w:r>
      <w:r>
        <w:rPr>
          <w:rFonts w:hint="eastAsia" w:ascii="Times New Roman" w:hAnsi="Times New Roman" w:eastAsia="方正仿宋_GBK" w:cs="Times New Roman"/>
          <w:color w:val="auto"/>
          <w:spacing w:val="-4"/>
          <w:szCs w:val="32"/>
          <w:highlight w:val="none"/>
          <w:lang w:val="en-US" w:eastAsia="zh-CN"/>
        </w:rPr>
        <w:t>构建全链条项目质量管控体系，落实自建监管“红黄牌”预警机制，平安百年品质工程建设不断深化。</w:t>
      </w:r>
    </w:p>
    <w:p w14:paraId="589B8A4D">
      <w:pPr>
        <w:pStyle w:val="2"/>
        <w:keepNext w:val="0"/>
        <w:keepLines w:val="0"/>
        <w:pageBreakBefore w:val="0"/>
        <w:kinsoku/>
        <w:wordWrap/>
        <w:overflowPunct/>
        <w:topLinePunct w:val="0"/>
        <w:bidi w:val="0"/>
        <w:spacing w:after="0" w:line="560" w:lineRule="exact"/>
        <w:ind w:left="0" w:leftChars="0" w:firstLine="624"/>
        <w:textAlignment w:val="auto"/>
        <w:rPr>
          <w:rFonts w:hint="default" w:ascii="Times New Roman" w:hAnsi="Times New Roman" w:eastAsia="方正仿宋_GBK" w:cs="Times New Roman"/>
          <w:color w:val="auto"/>
          <w:spacing w:val="-4"/>
          <w:szCs w:val="32"/>
          <w:highlight w:val="none"/>
        </w:rPr>
      </w:pPr>
      <w:r>
        <w:rPr>
          <w:rFonts w:hint="default" w:ascii="Times New Roman" w:hAnsi="Times New Roman" w:eastAsia="宋体" w:cs="Times New Roman"/>
          <w:color w:val="auto"/>
          <w:spacing w:val="-4"/>
          <w:szCs w:val="32"/>
          <w:highlight w:val="none"/>
        </w:rPr>
        <w:t>②</w:t>
      </w:r>
      <w:r>
        <w:rPr>
          <w:rFonts w:hint="default" w:ascii="Times New Roman" w:hAnsi="Times New Roman" w:eastAsia="方正仿宋_GBK" w:cs="Times New Roman"/>
          <w:color w:val="auto"/>
          <w:spacing w:val="-4"/>
          <w:szCs w:val="32"/>
          <w:highlight w:val="none"/>
        </w:rPr>
        <w:t>“路面预防性养护工程实施里程”指标，指标值为≥</w:t>
      </w:r>
      <w:r>
        <w:rPr>
          <w:rFonts w:hint="eastAsia" w:ascii="Times New Roman" w:hAnsi="Times New Roman" w:eastAsia="方正仿宋_GBK" w:cs="Times New Roman"/>
          <w:color w:val="auto"/>
          <w:spacing w:val="-4"/>
          <w:szCs w:val="32"/>
          <w:highlight w:val="none"/>
          <w:lang w:val="en-US" w:eastAsia="zh-CN"/>
        </w:rPr>
        <w:t>1400</w:t>
      </w:r>
      <w:r>
        <w:rPr>
          <w:rFonts w:hint="default" w:ascii="Times New Roman" w:hAnsi="Times New Roman" w:eastAsia="方正仿宋_GBK" w:cs="Times New Roman"/>
          <w:color w:val="auto"/>
          <w:spacing w:val="-4"/>
          <w:szCs w:val="32"/>
          <w:highlight w:val="none"/>
        </w:rPr>
        <w:t>公里，完成值为</w:t>
      </w:r>
      <w:r>
        <w:rPr>
          <w:rFonts w:hint="default" w:ascii="Times New Roman" w:hAnsi="Times New Roman" w:eastAsia="方正仿宋_GBK" w:cs="Times New Roman"/>
          <w:color w:val="auto"/>
          <w:spacing w:val="-4"/>
          <w:szCs w:val="32"/>
          <w:highlight w:val="none"/>
          <w:lang w:val="en-US" w:eastAsia="zh-CN"/>
        </w:rPr>
        <w:t>1900公里</w:t>
      </w:r>
      <w:r>
        <w:rPr>
          <w:rFonts w:hint="default" w:ascii="Times New Roman" w:hAnsi="Times New Roman" w:eastAsia="方正仿宋_GBK" w:cs="Times New Roman"/>
          <w:color w:val="auto"/>
          <w:spacing w:val="-4"/>
          <w:szCs w:val="32"/>
          <w:highlight w:val="none"/>
        </w:rPr>
        <w:t>，完成率为</w:t>
      </w:r>
      <w:r>
        <w:rPr>
          <w:rFonts w:hint="default" w:ascii="Times New Roman" w:hAnsi="Times New Roman" w:eastAsia="方正仿宋_GBK" w:cs="Times New Roman"/>
          <w:color w:val="auto"/>
          <w:spacing w:val="-4"/>
          <w:szCs w:val="32"/>
          <w:highlight w:val="none"/>
          <w:lang w:val="en-US" w:eastAsia="zh-CN"/>
        </w:rPr>
        <w:t>1</w:t>
      </w:r>
      <w:r>
        <w:rPr>
          <w:rFonts w:hint="eastAsia" w:ascii="Times New Roman" w:hAnsi="Times New Roman" w:eastAsia="方正仿宋_GBK" w:cs="Times New Roman"/>
          <w:color w:val="auto"/>
          <w:spacing w:val="-4"/>
          <w:szCs w:val="32"/>
          <w:highlight w:val="none"/>
          <w:lang w:val="en-US" w:eastAsia="zh-CN"/>
        </w:rPr>
        <w:t>35</w:t>
      </w:r>
      <w:r>
        <w:rPr>
          <w:rFonts w:hint="default" w:ascii="Times New Roman" w:hAnsi="Times New Roman" w:eastAsia="方正仿宋_GBK" w:cs="Times New Roman"/>
          <w:color w:val="auto"/>
          <w:spacing w:val="-4"/>
          <w:szCs w:val="32"/>
          <w:highlight w:val="none"/>
          <w:lang w:val="en-US" w:eastAsia="zh-CN"/>
        </w:rPr>
        <w:t>.</w:t>
      </w:r>
      <w:r>
        <w:rPr>
          <w:rFonts w:hint="eastAsia" w:ascii="Times New Roman" w:hAnsi="Times New Roman" w:eastAsia="方正仿宋_GBK" w:cs="Times New Roman"/>
          <w:color w:val="auto"/>
          <w:spacing w:val="-4"/>
          <w:szCs w:val="32"/>
          <w:highlight w:val="none"/>
          <w:lang w:val="en-US" w:eastAsia="zh-CN"/>
        </w:rPr>
        <w:t>71</w:t>
      </w:r>
      <w:r>
        <w:rPr>
          <w:rFonts w:hint="default" w:ascii="Times New Roman" w:hAnsi="Times New Roman" w:eastAsia="方正仿宋_GBK" w:cs="Times New Roman"/>
          <w:color w:val="auto"/>
          <w:spacing w:val="-4"/>
          <w:szCs w:val="32"/>
          <w:highlight w:val="none"/>
          <w:lang w:val="en-US" w:eastAsia="zh-CN"/>
        </w:rPr>
        <w:t>%</w:t>
      </w:r>
      <w:r>
        <w:rPr>
          <w:rFonts w:hint="default" w:ascii="Times New Roman" w:hAnsi="Times New Roman" w:eastAsia="方正仿宋_GBK" w:cs="Times New Roman"/>
          <w:color w:val="auto"/>
          <w:spacing w:val="-4"/>
          <w:szCs w:val="32"/>
          <w:highlight w:val="none"/>
        </w:rPr>
        <w:t>。</w:t>
      </w:r>
    </w:p>
    <w:p w14:paraId="5D55CB11">
      <w:pPr>
        <w:pStyle w:val="2"/>
        <w:keepNext w:val="0"/>
        <w:keepLines w:val="0"/>
        <w:pageBreakBefore w:val="0"/>
        <w:kinsoku/>
        <w:wordWrap/>
        <w:overflowPunct/>
        <w:topLinePunct w:val="0"/>
        <w:bidi w:val="0"/>
        <w:spacing w:after="0" w:line="560" w:lineRule="exact"/>
        <w:ind w:left="0" w:leftChars="0" w:firstLine="624"/>
        <w:textAlignment w:val="auto"/>
        <w:rPr>
          <w:rFonts w:hint="default" w:ascii="Times New Roman" w:hAnsi="Times New Roman" w:eastAsia="方正仿宋_GBK" w:cs="Times New Roman"/>
          <w:color w:val="auto"/>
          <w:spacing w:val="-4"/>
          <w:szCs w:val="32"/>
          <w:highlight w:val="none"/>
          <w:lang w:val="en-US" w:eastAsia="zh-CN"/>
        </w:rPr>
      </w:pPr>
      <w:r>
        <w:rPr>
          <w:rFonts w:hint="eastAsia" w:ascii="Times New Roman" w:hAnsi="Times New Roman" w:eastAsia="方正仿宋_GBK" w:cs="Times New Roman"/>
          <w:color w:val="auto"/>
          <w:spacing w:val="-4"/>
          <w:szCs w:val="32"/>
          <w:highlight w:val="none"/>
          <w:lang w:val="en-US" w:eastAsia="zh-CN"/>
        </w:rPr>
        <w:t>③</w:t>
      </w:r>
      <w:r>
        <w:rPr>
          <w:rFonts w:hint="default" w:ascii="Times New Roman" w:hAnsi="Times New Roman" w:eastAsia="方正仿宋_GBK" w:cs="Times New Roman"/>
          <w:color w:val="auto"/>
          <w:spacing w:val="-4"/>
          <w:szCs w:val="32"/>
          <w:highlight w:val="none"/>
        </w:rPr>
        <w:t>“全年新改建农村公路”指标，指标值为</w:t>
      </w:r>
      <w:r>
        <w:rPr>
          <w:rFonts w:hint="eastAsia" w:ascii="Times New Roman" w:hAnsi="Times New Roman" w:eastAsia="方正仿宋_GBK" w:cs="Times New Roman"/>
          <w:color w:val="auto"/>
          <w:spacing w:val="-4"/>
          <w:szCs w:val="32"/>
          <w:highlight w:val="none"/>
          <w:lang w:val="en-US" w:eastAsia="zh-CN"/>
        </w:rPr>
        <w:t>≥</w:t>
      </w:r>
      <w:r>
        <w:rPr>
          <w:rFonts w:hint="default" w:ascii="Times New Roman" w:hAnsi="Times New Roman" w:eastAsia="方正仿宋_GBK" w:cs="Times New Roman"/>
          <w:color w:val="auto"/>
          <w:spacing w:val="-4"/>
          <w:szCs w:val="32"/>
          <w:highlight w:val="none"/>
        </w:rPr>
        <w:t>6000公里</w:t>
      </w:r>
      <w:r>
        <w:rPr>
          <w:rFonts w:hint="default" w:ascii="Times New Roman" w:hAnsi="Times New Roman" w:eastAsia="方正仿宋_GBK" w:cs="Times New Roman"/>
          <w:color w:val="auto"/>
          <w:spacing w:val="-4"/>
          <w:szCs w:val="32"/>
          <w:highlight w:val="none"/>
        </w:rPr>
        <w:tab/>
      </w:r>
      <w:r>
        <w:rPr>
          <w:rFonts w:hint="default" w:ascii="Times New Roman" w:hAnsi="Times New Roman" w:eastAsia="方正仿宋_GBK" w:cs="Times New Roman"/>
          <w:color w:val="auto"/>
          <w:spacing w:val="-4"/>
          <w:szCs w:val="32"/>
          <w:highlight w:val="none"/>
        </w:rPr>
        <w:t>，完成值为7843公里，完成率为1</w:t>
      </w:r>
      <w:r>
        <w:rPr>
          <w:rFonts w:hint="eastAsia" w:ascii="Times New Roman" w:hAnsi="Times New Roman" w:eastAsia="方正仿宋_GBK" w:cs="Times New Roman"/>
          <w:color w:val="auto"/>
          <w:spacing w:val="-4"/>
          <w:szCs w:val="32"/>
          <w:highlight w:val="none"/>
          <w:lang w:val="en-US" w:eastAsia="zh-CN"/>
        </w:rPr>
        <w:t>30.72</w:t>
      </w:r>
      <w:r>
        <w:rPr>
          <w:rFonts w:hint="default" w:ascii="Times New Roman" w:hAnsi="Times New Roman" w:eastAsia="方正仿宋_GBK" w:cs="Times New Roman"/>
          <w:color w:val="auto"/>
          <w:spacing w:val="-4"/>
          <w:szCs w:val="32"/>
          <w:highlight w:val="none"/>
        </w:rPr>
        <w:t>%。</w:t>
      </w:r>
      <w:r>
        <w:rPr>
          <w:rFonts w:hint="eastAsia" w:ascii="Times New Roman" w:hAnsi="Times New Roman" w:eastAsia="方正仿宋_GBK" w:cs="Times New Roman"/>
          <w:color w:val="auto"/>
          <w:spacing w:val="-4"/>
          <w:szCs w:val="32"/>
          <w:highlight w:val="none"/>
          <w:lang w:val="en-US" w:eastAsia="zh-CN"/>
        </w:rPr>
        <w:t>实现南疆脱贫县全覆盖，为乡村振兴注入交通动能。</w:t>
      </w:r>
    </w:p>
    <w:p w14:paraId="7F7C8206">
      <w:pPr>
        <w:pStyle w:val="2"/>
        <w:keepNext w:val="0"/>
        <w:keepLines w:val="0"/>
        <w:pageBreakBefore w:val="0"/>
        <w:kinsoku/>
        <w:wordWrap/>
        <w:overflowPunct/>
        <w:topLinePunct w:val="0"/>
        <w:bidi w:val="0"/>
        <w:spacing w:after="0" w:line="560" w:lineRule="exact"/>
        <w:ind w:left="0" w:leftChars="0" w:firstLine="624"/>
        <w:textAlignment w:val="auto"/>
        <w:rPr>
          <w:rFonts w:hint="default" w:ascii="Times New Roman" w:hAnsi="Times New Roman" w:eastAsia="方正仿宋_GBK" w:cs="Times New Roman"/>
          <w:color w:val="auto"/>
          <w:spacing w:val="-4"/>
          <w:szCs w:val="32"/>
          <w:highlight w:val="none"/>
        </w:rPr>
      </w:pPr>
      <w:r>
        <w:rPr>
          <w:rFonts w:hint="eastAsia" w:ascii="Times New Roman" w:hAnsi="Times New Roman" w:eastAsia="方正仿宋_GBK" w:cs="Times New Roman"/>
          <w:color w:val="auto"/>
          <w:spacing w:val="-4"/>
          <w:szCs w:val="32"/>
          <w:highlight w:val="none"/>
          <w:lang w:val="en-US" w:eastAsia="zh-CN"/>
        </w:rPr>
        <w:t>④</w:t>
      </w:r>
      <w:r>
        <w:rPr>
          <w:rFonts w:hint="default" w:ascii="Times New Roman" w:hAnsi="Times New Roman" w:eastAsia="方正仿宋_GBK" w:cs="Times New Roman"/>
          <w:color w:val="auto"/>
          <w:spacing w:val="-4"/>
          <w:szCs w:val="32"/>
          <w:highlight w:val="none"/>
        </w:rPr>
        <w:t>“普通国省干线公路市场化日常养护里程”指标，指标值为</w:t>
      </w:r>
      <w:r>
        <w:rPr>
          <w:rFonts w:hint="eastAsia" w:ascii="Times New Roman" w:hAnsi="Times New Roman" w:eastAsia="方正仿宋_GBK" w:cs="Times New Roman"/>
          <w:color w:val="auto"/>
          <w:spacing w:val="-4"/>
          <w:szCs w:val="32"/>
          <w:highlight w:val="none"/>
          <w:lang w:val="en-US" w:eastAsia="zh-CN"/>
        </w:rPr>
        <w:t>≥</w:t>
      </w:r>
      <w:r>
        <w:rPr>
          <w:rFonts w:hint="default" w:ascii="Times New Roman" w:hAnsi="Times New Roman" w:eastAsia="方正仿宋_GBK" w:cs="Times New Roman"/>
          <w:color w:val="auto"/>
          <w:spacing w:val="-4"/>
          <w:szCs w:val="32"/>
          <w:highlight w:val="none"/>
        </w:rPr>
        <w:t>750</w:t>
      </w:r>
      <w:r>
        <w:rPr>
          <w:rFonts w:hint="eastAsia" w:ascii="Times New Roman" w:hAnsi="Times New Roman" w:eastAsia="方正仿宋_GBK" w:cs="Times New Roman"/>
          <w:color w:val="auto"/>
          <w:spacing w:val="-4"/>
          <w:szCs w:val="32"/>
          <w:highlight w:val="none"/>
          <w:lang w:val="en-US" w:eastAsia="zh-CN"/>
        </w:rPr>
        <w:t>公里</w:t>
      </w:r>
      <w:r>
        <w:rPr>
          <w:rFonts w:hint="default" w:ascii="Times New Roman" w:hAnsi="Times New Roman" w:eastAsia="方正仿宋_GBK" w:cs="Times New Roman"/>
          <w:color w:val="auto"/>
          <w:spacing w:val="-4"/>
          <w:szCs w:val="32"/>
          <w:highlight w:val="none"/>
        </w:rPr>
        <w:t>，完成值为1000公里，完成率为</w:t>
      </w:r>
      <w:r>
        <w:rPr>
          <w:rFonts w:hint="eastAsia" w:ascii="Times New Roman" w:hAnsi="Times New Roman" w:eastAsia="方正仿宋_GBK" w:cs="Times New Roman"/>
          <w:color w:val="auto"/>
          <w:spacing w:val="-4"/>
          <w:szCs w:val="32"/>
          <w:highlight w:val="none"/>
          <w:lang w:val="en-US" w:eastAsia="zh-CN"/>
        </w:rPr>
        <w:t>133.33</w:t>
      </w:r>
      <w:r>
        <w:rPr>
          <w:rFonts w:hint="default" w:ascii="Times New Roman" w:hAnsi="Times New Roman" w:eastAsia="方正仿宋_GBK" w:cs="Times New Roman"/>
          <w:color w:val="auto"/>
          <w:spacing w:val="-4"/>
          <w:szCs w:val="32"/>
          <w:highlight w:val="none"/>
        </w:rPr>
        <w:t>%。</w:t>
      </w:r>
    </w:p>
    <w:p w14:paraId="3C66A360">
      <w:pPr>
        <w:pStyle w:val="2"/>
        <w:keepNext w:val="0"/>
        <w:keepLines w:val="0"/>
        <w:pageBreakBefore w:val="0"/>
        <w:kinsoku/>
        <w:wordWrap/>
        <w:overflowPunct/>
        <w:topLinePunct w:val="0"/>
        <w:bidi w:val="0"/>
        <w:spacing w:after="0" w:line="560" w:lineRule="exact"/>
        <w:ind w:left="0" w:leftChars="0" w:firstLine="624"/>
        <w:textAlignment w:val="auto"/>
        <w:rPr>
          <w:rFonts w:hint="default" w:ascii="Times New Roman" w:hAnsi="Times New Roman" w:eastAsia="方正仿宋_GBK" w:cs="Times New Roman"/>
          <w:color w:val="auto"/>
          <w:spacing w:val="-4"/>
          <w:szCs w:val="32"/>
          <w:highlight w:val="none"/>
        </w:rPr>
      </w:pPr>
      <w:r>
        <w:rPr>
          <w:rFonts w:hint="eastAsia" w:ascii="Times New Roman" w:hAnsi="Times New Roman" w:eastAsia="方正仿宋_GBK" w:cs="Times New Roman"/>
          <w:color w:val="auto"/>
          <w:spacing w:val="-4"/>
          <w:szCs w:val="32"/>
          <w:highlight w:val="none"/>
          <w:lang w:val="en-US" w:eastAsia="zh-CN"/>
        </w:rPr>
        <w:t>⑤</w:t>
      </w:r>
      <w:r>
        <w:rPr>
          <w:rFonts w:hint="default" w:ascii="Times New Roman" w:hAnsi="Times New Roman" w:eastAsia="方正仿宋_GBK" w:cs="Times New Roman"/>
          <w:color w:val="auto"/>
          <w:spacing w:val="-4"/>
          <w:szCs w:val="32"/>
          <w:highlight w:val="none"/>
        </w:rPr>
        <w:t>“危桥改造座数（座）”指标，指标值为</w:t>
      </w:r>
      <w:r>
        <w:rPr>
          <w:rFonts w:hint="eastAsia" w:ascii="Times New Roman" w:hAnsi="Times New Roman" w:eastAsia="方正仿宋_GBK" w:cs="Times New Roman"/>
          <w:color w:val="auto"/>
          <w:spacing w:val="-4"/>
          <w:szCs w:val="32"/>
          <w:highlight w:val="none"/>
          <w:lang w:val="en-US" w:eastAsia="zh-CN"/>
        </w:rPr>
        <w:t>≥</w:t>
      </w:r>
      <w:r>
        <w:rPr>
          <w:rFonts w:hint="default" w:ascii="Times New Roman" w:hAnsi="Times New Roman" w:eastAsia="方正仿宋_GBK" w:cs="Times New Roman"/>
          <w:color w:val="auto"/>
          <w:spacing w:val="-4"/>
          <w:szCs w:val="32"/>
          <w:highlight w:val="none"/>
        </w:rPr>
        <w:t>24座，完成值为39座，完成率为</w:t>
      </w:r>
      <w:r>
        <w:rPr>
          <w:rFonts w:hint="eastAsia" w:ascii="Times New Roman" w:hAnsi="Times New Roman" w:eastAsia="方正仿宋_GBK" w:cs="Times New Roman"/>
          <w:color w:val="auto"/>
          <w:spacing w:val="-4"/>
          <w:szCs w:val="32"/>
          <w:highlight w:val="none"/>
          <w:lang w:val="en-US" w:eastAsia="zh-CN"/>
        </w:rPr>
        <w:t>162.50</w:t>
      </w:r>
      <w:r>
        <w:rPr>
          <w:rFonts w:hint="default" w:ascii="Times New Roman" w:hAnsi="Times New Roman" w:eastAsia="方正仿宋_GBK" w:cs="Times New Roman"/>
          <w:color w:val="auto"/>
          <w:spacing w:val="-4"/>
          <w:szCs w:val="32"/>
          <w:highlight w:val="none"/>
        </w:rPr>
        <w:t>%。</w:t>
      </w:r>
    </w:p>
    <w:p w14:paraId="5E430EDB">
      <w:pPr>
        <w:pStyle w:val="23"/>
        <w:keepNext w:val="0"/>
        <w:keepLines w:val="0"/>
        <w:pageBreakBefore w:val="0"/>
        <w:kinsoku/>
        <w:wordWrap/>
        <w:overflowPunct/>
        <w:topLinePunct w:val="0"/>
        <w:bidi w:val="0"/>
        <w:spacing w:line="560" w:lineRule="exact"/>
        <w:ind w:firstLine="624" w:firstLineChars="200"/>
        <w:textAlignment w:val="auto"/>
        <w:outlineLvl w:val="2"/>
        <w:rPr>
          <w:rFonts w:hint="default" w:ascii="Times New Roman" w:hAnsi="Times New Roman" w:eastAsia="方正仿宋_GBK" w:cs="Times New Roman"/>
          <w:color w:val="auto"/>
          <w:spacing w:val="-4"/>
          <w:sz w:val="32"/>
          <w:szCs w:val="32"/>
          <w:highlight w:val="none"/>
        </w:rPr>
      </w:pPr>
      <w:r>
        <w:rPr>
          <w:rFonts w:hint="default" w:ascii="Times New Roman" w:hAnsi="Times New Roman" w:eastAsia="方正仿宋_GBK" w:cs="Times New Roman"/>
          <w:color w:val="auto"/>
          <w:spacing w:val="-4"/>
          <w:sz w:val="32"/>
          <w:szCs w:val="32"/>
          <w:highlight w:val="none"/>
          <w:lang w:val="en-US" w:eastAsia="zh-CN"/>
        </w:rPr>
        <w:t>2</w:t>
      </w:r>
      <w:r>
        <w:rPr>
          <w:rFonts w:hint="default" w:ascii="Times New Roman" w:hAnsi="Times New Roman" w:eastAsia="方正仿宋_GBK" w:cs="Times New Roman"/>
          <w:color w:val="auto"/>
          <w:spacing w:val="-4"/>
          <w:sz w:val="32"/>
          <w:szCs w:val="32"/>
          <w:highlight w:val="none"/>
        </w:rPr>
        <w:t>.项目效率性分析</w:t>
      </w:r>
    </w:p>
    <w:p w14:paraId="29FC8D27">
      <w:pPr>
        <w:pStyle w:val="23"/>
        <w:keepNext w:val="0"/>
        <w:keepLines w:val="0"/>
        <w:pageBreakBefore w:val="0"/>
        <w:kinsoku/>
        <w:wordWrap/>
        <w:overflowPunct/>
        <w:topLinePunct w:val="0"/>
        <w:bidi w:val="0"/>
        <w:spacing w:line="560" w:lineRule="exact"/>
        <w:ind w:firstLine="624" w:firstLineChars="200"/>
        <w:textAlignment w:val="auto"/>
        <w:rPr>
          <w:rFonts w:hint="default" w:ascii="Times New Roman" w:hAnsi="Times New Roman" w:eastAsia="方正仿宋_GBK" w:cs="Times New Roman"/>
          <w:color w:val="auto"/>
          <w:spacing w:val="-4"/>
          <w:sz w:val="32"/>
          <w:szCs w:val="32"/>
          <w:highlight w:val="none"/>
        </w:rPr>
      </w:pPr>
      <w:r>
        <w:rPr>
          <w:rFonts w:hint="default" w:ascii="Times New Roman" w:hAnsi="Times New Roman" w:eastAsia="方正仿宋_GBK" w:cs="Times New Roman"/>
          <w:color w:val="auto"/>
          <w:spacing w:val="-4"/>
          <w:sz w:val="32"/>
          <w:szCs w:val="32"/>
          <w:highlight w:val="none"/>
        </w:rPr>
        <w:t>（1）实施进度</w:t>
      </w:r>
    </w:p>
    <w:p w14:paraId="173C66EF">
      <w:pPr>
        <w:keepNext w:val="0"/>
        <w:keepLines w:val="0"/>
        <w:pageBreakBefore w:val="0"/>
        <w:kinsoku/>
        <w:wordWrap/>
        <w:overflowPunct/>
        <w:topLinePunct w:val="0"/>
        <w:bidi w:val="0"/>
        <w:spacing w:line="560" w:lineRule="exact"/>
        <w:ind w:firstLine="640"/>
        <w:textAlignment w:val="auto"/>
        <w:rPr>
          <w:rFonts w:hint="default" w:ascii="Times New Roman" w:hAnsi="Times New Roman" w:eastAsia="方正仿宋_GBK" w:cs="Times New Roman"/>
          <w:kern w:val="1"/>
          <w:sz w:val="32"/>
          <w:szCs w:val="32"/>
          <w:highlight w:val="none"/>
        </w:rPr>
      </w:pPr>
      <w:r>
        <w:rPr>
          <w:rFonts w:hint="default" w:ascii="Times New Roman" w:hAnsi="Times New Roman" w:eastAsia="方正仿宋_GBK" w:cs="Times New Roman"/>
          <w:kern w:val="1"/>
          <w:sz w:val="32"/>
          <w:szCs w:val="32"/>
          <w:highlight w:val="none"/>
        </w:rPr>
        <w:t>我厅</w:t>
      </w:r>
      <w:r>
        <w:rPr>
          <w:rFonts w:hint="default" w:ascii="Times New Roman" w:hAnsi="Times New Roman" w:eastAsia="方正仿宋_GBK" w:cs="Times New Roman"/>
          <w:snapToGrid w:val="0"/>
          <w:sz w:val="32"/>
          <w:szCs w:val="32"/>
          <w:highlight w:val="none"/>
        </w:rPr>
        <w:t>202</w:t>
      </w:r>
      <w:r>
        <w:rPr>
          <w:rFonts w:hint="eastAsia" w:ascii="Times New Roman" w:hAnsi="Times New Roman" w:eastAsia="方正仿宋_GBK" w:cs="Times New Roman"/>
          <w:snapToGrid w:val="0"/>
          <w:sz w:val="32"/>
          <w:szCs w:val="32"/>
          <w:highlight w:val="none"/>
          <w:lang w:val="en-US" w:eastAsia="zh-CN"/>
        </w:rPr>
        <w:t>5</w:t>
      </w:r>
      <w:r>
        <w:rPr>
          <w:rFonts w:hint="default" w:ascii="Times New Roman" w:hAnsi="Times New Roman" w:eastAsia="方正仿宋_GBK" w:cs="Times New Roman"/>
          <w:snapToGrid w:val="0"/>
          <w:sz w:val="32"/>
          <w:szCs w:val="32"/>
          <w:highlight w:val="none"/>
        </w:rPr>
        <w:t>年度专项资金专款专用，各个项目于202</w:t>
      </w:r>
      <w:r>
        <w:rPr>
          <w:rFonts w:hint="eastAsia" w:ascii="Times New Roman" w:hAnsi="Times New Roman" w:eastAsia="方正仿宋_GBK" w:cs="Times New Roman"/>
          <w:snapToGrid w:val="0"/>
          <w:sz w:val="32"/>
          <w:szCs w:val="32"/>
          <w:highlight w:val="none"/>
          <w:lang w:val="en-US" w:eastAsia="zh-CN"/>
        </w:rPr>
        <w:t>5</w:t>
      </w:r>
      <w:r>
        <w:rPr>
          <w:rFonts w:hint="default" w:ascii="Times New Roman" w:hAnsi="Times New Roman" w:eastAsia="方正仿宋_GBK" w:cs="Times New Roman"/>
          <w:snapToGrid w:val="0"/>
          <w:sz w:val="32"/>
          <w:szCs w:val="32"/>
          <w:highlight w:val="none"/>
        </w:rPr>
        <w:t>年底按期完成，项目资金按照实施进度进行支付，202</w:t>
      </w:r>
      <w:r>
        <w:rPr>
          <w:rFonts w:hint="eastAsia" w:ascii="Times New Roman" w:hAnsi="Times New Roman" w:eastAsia="方正仿宋_GBK" w:cs="Times New Roman"/>
          <w:snapToGrid w:val="0"/>
          <w:sz w:val="32"/>
          <w:szCs w:val="32"/>
          <w:highlight w:val="none"/>
          <w:lang w:val="en-US" w:eastAsia="zh-CN"/>
        </w:rPr>
        <w:t>5</w:t>
      </w:r>
      <w:r>
        <w:rPr>
          <w:rFonts w:hint="default" w:ascii="Times New Roman" w:hAnsi="Times New Roman" w:eastAsia="方正仿宋_GBK" w:cs="Times New Roman"/>
          <w:snapToGrid w:val="0"/>
          <w:sz w:val="32"/>
          <w:szCs w:val="32"/>
          <w:highlight w:val="none"/>
        </w:rPr>
        <w:t>年项目支出执行率达到</w:t>
      </w:r>
      <w:r>
        <w:rPr>
          <w:rFonts w:hint="eastAsia" w:ascii="Times New Roman" w:hAnsi="Times New Roman" w:eastAsia="方正仿宋_GBK" w:cs="Times New Roman"/>
          <w:snapToGrid w:val="0"/>
          <w:sz w:val="32"/>
          <w:szCs w:val="32"/>
          <w:highlight w:val="none"/>
          <w:lang w:val="en-US" w:eastAsia="zh-CN"/>
        </w:rPr>
        <w:t>68.88</w:t>
      </w:r>
      <w:r>
        <w:rPr>
          <w:rFonts w:hint="default" w:ascii="Times New Roman" w:hAnsi="Times New Roman" w:eastAsia="方正仿宋_GBK" w:cs="Times New Roman"/>
          <w:snapToGrid w:val="0"/>
          <w:sz w:val="32"/>
          <w:szCs w:val="32"/>
          <w:highlight w:val="none"/>
        </w:rPr>
        <w:t>%。</w:t>
      </w:r>
    </w:p>
    <w:p w14:paraId="1601BC96">
      <w:pPr>
        <w:pStyle w:val="23"/>
        <w:keepNext w:val="0"/>
        <w:keepLines w:val="0"/>
        <w:pageBreakBefore w:val="0"/>
        <w:numPr>
          <w:ilvl w:val="0"/>
          <w:numId w:val="3"/>
        </w:numPr>
        <w:kinsoku/>
        <w:wordWrap/>
        <w:overflowPunct/>
        <w:topLinePunct w:val="0"/>
        <w:bidi w:val="0"/>
        <w:spacing w:line="560" w:lineRule="exact"/>
        <w:ind w:firstLine="624" w:firstLineChars="200"/>
        <w:textAlignment w:val="auto"/>
        <w:rPr>
          <w:rFonts w:hint="default" w:ascii="Times New Roman" w:hAnsi="Times New Roman" w:eastAsia="方正仿宋_GBK" w:cs="Times New Roman"/>
          <w:color w:val="auto"/>
          <w:spacing w:val="-4"/>
          <w:sz w:val="32"/>
          <w:szCs w:val="32"/>
          <w:highlight w:val="none"/>
        </w:rPr>
      </w:pPr>
      <w:r>
        <w:rPr>
          <w:rFonts w:hint="default" w:ascii="Times New Roman" w:hAnsi="Times New Roman" w:eastAsia="方正仿宋_GBK" w:cs="Times New Roman"/>
          <w:color w:val="auto"/>
          <w:spacing w:val="-4"/>
          <w:sz w:val="32"/>
          <w:szCs w:val="32"/>
          <w:highlight w:val="none"/>
        </w:rPr>
        <w:t>完成质量</w:t>
      </w:r>
    </w:p>
    <w:p w14:paraId="3DE3A5A5">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各个项目基本完成年度预期目标任务，完成质量较好。项目的有效实施，</w:t>
      </w:r>
      <w:r>
        <w:rPr>
          <w:rFonts w:hint="default" w:ascii="Times New Roman" w:hAnsi="Times New Roman" w:eastAsia="方正仿宋_GBK" w:cs="Times New Roman"/>
          <w:color w:val="000000"/>
          <w:kern w:val="0"/>
          <w:sz w:val="32"/>
          <w:szCs w:val="32"/>
          <w:highlight w:val="none"/>
          <w:lang w:bidi="ar"/>
        </w:rPr>
        <w:t>持续提升了交通运输基本公共服务水平，大幅提升了交通运输的服务效率和人民群众高质量的出行体验。</w:t>
      </w:r>
    </w:p>
    <w:p w14:paraId="255F7668">
      <w:pPr>
        <w:pStyle w:val="23"/>
        <w:keepNext w:val="0"/>
        <w:keepLines w:val="0"/>
        <w:pageBreakBefore w:val="0"/>
        <w:kinsoku/>
        <w:wordWrap/>
        <w:overflowPunct/>
        <w:topLinePunct w:val="0"/>
        <w:bidi w:val="0"/>
        <w:spacing w:line="560" w:lineRule="exact"/>
        <w:ind w:firstLine="624" w:firstLineChars="200"/>
        <w:textAlignment w:val="auto"/>
        <w:outlineLvl w:val="9"/>
        <w:rPr>
          <w:rFonts w:hint="default" w:ascii="Times New Roman" w:hAnsi="Times New Roman" w:eastAsia="方正仿宋_GBK" w:cs="Times New Roman"/>
          <w:color w:val="auto"/>
          <w:spacing w:val="-4"/>
          <w:sz w:val="32"/>
          <w:szCs w:val="32"/>
          <w:highlight w:val="none"/>
        </w:rPr>
      </w:pPr>
      <w:r>
        <w:rPr>
          <w:rFonts w:hint="default" w:ascii="Times New Roman" w:hAnsi="Times New Roman" w:eastAsia="方正仿宋_GBK" w:cs="Times New Roman"/>
          <w:color w:val="auto"/>
          <w:spacing w:val="-4"/>
          <w:sz w:val="32"/>
          <w:szCs w:val="32"/>
          <w:highlight w:val="none"/>
        </w:rPr>
        <w:t>（</w:t>
      </w:r>
      <w:r>
        <w:rPr>
          <w:rFonts w:hint="default" w:ascii="Times New Roman" w:hAnsi="Times New Roman" w:eastAsia="方正仿宋_GBK" w:cs="Times New Roman"/>
          <w:color w:val="auto"/>
          <w:spacing w:val="-4"/>
          <w:sz w:val="32"/>
          <w:szCs w:val="32"/>
          <w:highlight w:val="none"/>
          <w:lang w:val="en-US" w:eastAsia="zh-CN"/>
        </w:rPr>
        <w:t>3</w:t>
      </w:r>
      <w:r>
        <w:rPr>
          <w:rFonts w:hint="default" w:ascii="Times New Roman" w:hAnsi="Times New Roman" w:eastAsia="方正仿宋_GBK" w:cs="Times New Roman"/>
          <w:color w:val="auto"/>
          <w:spacing w:val="-4"/>
          <w:sz w:val="32"/>
          <w:szCs w:val="32"/>
          <w:highlight w:val="none"/>
        </w:rPr>
        <w:t>）实施对经济和社会的影响</w:t>
      </w:r>
    </w:p>
    <w:p w14:paraId="28A454A3">
      <w:pPr>
        <w:pStyle w:val="23"/>
        <w:keepNext w:val="0"/>
        <w:keepLines w:val="0"/>
        <w:pageBreakBefore w:val="0"/>
        <w:kinsoku/>
        <w:wordWrap/>
        <w:overflowPunct/>
        <w:topLinePunct w:val="0"/>
        <w:bidi w:val="0"/>
        <w:spacing w:line="560" w:lineRule="exact"/>
        <w:ind w:firstLine="640" w:firstLineChars="200"/>
        <w:textAlignment w:val="auto"/>
        <w:rPr>
          <w:rFonts w:hint="default" w:ascii="Times New Roman" w:hAnsi="Times New Roman" w:eastAsia="方正仿宋_GBK" w:cs="Times New Roman"/>
          <w:color w:val="auto"/>
          <w:kern w:val="2"/>
          <w:sz w:val="32"/>
          <w:szCs w:val="32"/>
          <w:highlight w:val="none"/>
        </w:rPr>
      </w:pPr>
      <w:r>
        <w:rPr>
          <w:rFonts w:hint="default" w:ascii="Times New Roman" w:hAnsi="Times New Roman" w:eastAsia="方正仿宋_GBK" w:cs="Times New Roman"/>
          <w:color w:val="auto"/>
          <w:kern w:val="2"/>
          <w:sz w:val="32"/>
          <w:szCs w:val="32"/>
          <w:highlight w:val="none"/>
        </w:rPr>
        <w:t>202</w:t>
      </w:r>
      <w:r>
        <w:rPr>
          <w:rFonts w:hint="eastAsia" w:ascii="Times New Roman" w:hAnsi="Times New Roman" w:eastAsia="方正仿宋_GBK" w:cs="Times New Roman"/>
          <w:color w:val="auto"/>
          <w:kern w:val="2"/>
          <w:sz w:val="32"/>
          <w:szCs w:val="32"/>
          <w:highlight w:val="none"/>
          <w:lang w:val="en-US" w:eastAsia="zh-CN"/>
        </w:rPr>
        <w:t>5</w:t>
      </w:r>
      <w:r>
        <w:rPr>
          <w:rFonts w:hint="default" w:ascii="Times New Roman" w:hAnsi="Times New Roman" w:eastAsia="方正仿宋_GBK" w:cs="Times New Roman"/>
          <w:color w:val="auto"/>
          <w:kern w:val="2"/>
          <w:sz w:val="32"/>
          <w:szCs w:val="32"/>
          <w:highlight w:val="none"/>
        </w:rPr>
        <w:t>年，</w:t>
      </w:r>
      <w:r>
        <w:rPr>
          <w:rFonts w:hint="eastAsia" w:ascii="Times New Roman" w:hAnsi="Times New Roman" w:eastAsia="方正仿宋_GBK" w:cs="Times New Roman"/>
          <w:color w:val="auto"/>
          <w:kern w:val="2"/>
          <w:sz w:val="32"/>
          <w:szCs w:val="32"/>
          <w:highlight w:val="none"/>
          <w:lang w:val="en-US" w:eastAsia="zh-CN"/>
        </w:rPr>
        <w:t>安全发展能力得到新提升，路网建设实现新跨越，运输服务展现新作为，“四好农村路”建设取得新成效，创新绿色发展迈出新步伐，行业治理激发新动能，对外开放合作取得新进展</w:t>
      </w:r>
      <w:r>
        <w:rPr>
          <w:rFonts w:hint="default" w:ascii="Times New Roman" w:hAnsi="Times New Roman" w:eastAsia="方正仿宋_GBK" w:cs="Times New Roman"/>
          <w:color w:val="auto"/>
          <w:kern w:val="2"/>
          <w:sz w:val="32"/>
          <w:szCs w:val="32"/>
          <w:highlight w:val="none"/>
        </w:rPr>
        <w:t>。</w:t>
      </w:r>
    </w:p>
    <w:p w14:paraId="441A3F72">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1"/>
        <w:rPr>
          <w:rFonts w:hint="default" w:ascii="Times New Roman" w:hAnsi="Times New Roman" w:eastAsia="方正仿宋_GBK" w:cs="Times New Roman"/>
          <w:color w:val="auto"/>
          <w:kern w:val="2"/>
          <w:sz w:val="32"/>
          <w:szCs w:val="32"/>
          <w:highlight w:val="none"/>
        </w:rPr>
      </w:pPr>
      <w:r>
        <w:rPr>
          <w:rFonts w:hint="default" w:ascii="Times New Roman" w:hAnsi="Times New Roman" w:eastAsia="方正楷体_GBK" w:cs="Times New Roman"/>
          <w:sz w:val="32"/>
          <w:szCs w:val="32"/>
          <w:highlight w:val="none"/>
          <w:shd w:val="clear" w:color="auto" w:fill="FFFFFF"/>
          <w:lang w:val="en-US" w:eastAsia="zh-CN"/>
        </w:rPr>
        <w:t>（二）部门单位整体支出绩效评价</w:t>
      </w:r>
    </w:p>
    <w:p w14:paraId="6207E8B6">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1"/>
        <w:rPr>
          <w:rFonts w:hint="default" w:ascii="Times New Roman" w:hAnsi="Times New Roman" w:eastAsia="方正楷体_GBK" w:cs="Times New Roman"/>
          <w:sz w:val="32"/>
          <w:szCs w:val="32"/>
          <w:highlight w:val="none"/>
          <w:shd w:val="clear" w:color="auto" w:fill="FFFFFF"/>
          <w:lang w:eastAsia="zh-CN"/>
        </w:rPr>
      </w:pPr>
      <w:bookmarkStart w:id="26" w:name="_Toc69718332"/>
      <w:r>
        <w:rPr>
          <w:rFonts w:hint="default" w:ascii="Times New Roman" w:hAnsi="Times New Roman" w:eastAsia="方正楷体_GBK" w:cs="Times New Roman"/>
          <w:sz w:val="32"/>
          <w:szCs w:val="32"/>
          <w:highlight w:val="none"/>
          <w:shd w:val="clear" w:color="auto" w:fill="FFFFFF"/>
          <w:lang w:val="en-US" w:eastAsia="zh-CN"/>
        </w:rPr>
        <w:t>1.</w:t>
      </w:r>
      <w:r>
        <w:rPr>
          <w:rFonts w:hint="default" w:ascii="Times New Roman" w:hAnsi="Times New Roman" w:eastAsia="方正楷体_GBK" w:cs="Times New Roman"/>
          <w:sz w:val="32"/>
          <w:szCs w:val="32"/>
          <w:highlight w:val="none"/>
          <w:shd w:val="clear" w:color="auto" w:fill="FFFFFF"/>
          <w:lang w:eastAsia="zh-CN"/>
        </w:rPr>
        <w:t>经济效益评价</w:t>
      </w:r>
      <w:bookmarkEnd w:id="26"/>
    </w:p>
    <w:p w14:paraId="024FC461">
      <w:pPr>
        <w:keepNext w:val="0"/>
        <w:keepLines w:val="0"/>
        <w:pageBreakBefore w:val="0"/>
        <w:widowControl/>
        <w:shd w:val="clear" w:color="auto" w:fill="FFFFFF"/>
        <w:kinsoku/>
        <w:wordWrap/>
        <w:overflowPunct/>
        <w:topLinePunct w:val="0"/>
        <w:bidi w:val="0"/>
        <w:spacing w:line="560" w:lineRule="exact"/>
        <w:ind w:firstLine="640" w:firstLineChars="200"/>
        <w:textAlignment w:val="auto"/>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rPr>
        <w:t>202</w:t>
      </w:r>
      <w:r>
        <w:rPr>
          <w:rFonts w:hint="eastAsia" w:ascii="Times New Roman" w:hAnsi="Times New Roman" w:eastAsia="方正仿宋_GBK" w:cs="Times New Roman"/>
          <w:sz w:val="32"/>
          <w:szCs w:val="32"/>
          <w:highlight w:val="none"/>
          <w:shd w:val="clear" w:color="auto" w:fill="FFFFFF"/>
          <w:lang w:val="en-US" w:eastAsia="zh-CN"/>
        </w:rPr>
        <w:t>5</w:t>
      </w:r>
      <w:r>
        <w:rPr>
          <w:rFonts w:hint="default" w:ascii="Times New Roman" w:hAnsi="Times New Roman" w:eastAsia="方正仿宋_GBK" w:cs="Times New Roman"/>
          <w:sz w:val="32"/>
          <w:szCs w:val="32"/>
          <w:highlight w:val="none"/>
          <w:shd w:val="clear" w:color="auto" w:fill="FFFFFF"/>
        </w:rPr>
        <w:t>年度严格按照年初预算批复认真组织实施，严格执行财经纪律相关管理规定，做到各项收支安排使用符合交通运输事业发展计划和财政政策的要求，确保了单位正常运行和重大项目的实施，202</w:t>
      </w:r>
      <w:r>
        <w:rPr>
          <w:rFonts w:hint="eastAsia" w:ascii="Times New Roman" w:hAnsi="Times New Roman" w:eastAsia="方正仿宋_GBK" w:cs="Times New Roman"/>
          <w:sz w:val="32"/>
          <w:szCs w:val="32"/>
          <w:highlight w:val="none"/>
          <w:shd w:val="clear" w:color="auto" w:fill="FFFFFF"/>
          <w:lang w:val="en-US" w:eastAsia="zh-CN"/>
        </w:rPr>
        <w:t>5</w:t>
      </w:r>
      <w:r>
        <w:rPr>
          <w:rFonts w:hint="default" w:ascii="Times New Roman" w:hAnsi="Times New Roman" w:eastAsia="方正仿宋_GBK" w:cs="Times New Roman"/>
          <w:sz w:val="32"/>
          <w:szCs w:val="32"/>
          <w:highlight w:val="none"/>
          <w:shd w:val="clear" w:color="auto" w:fill="FFFFFF"/>
        </w:rPr>
        <w:t>年目标任务基本完成，预算执行情况较好。预算执行方面，从严控制行政经费，严格控制“三公”经费，</w:t>
      </w:r>
      <w:r>
        <w:rPr>
          <w:rFonts w:hint="default" w:ascii="Times New Roman" w:hAnsi="Times New Roman" w:eastAsia="方正仿宋_GBK" w:cs="Times New Roman"/>
          <w:sz w:val="32"/>
          <w:szCs w:val="32"/>
          <w:highlight w:val="none"/>
        </w:rPr>
        <w:t>202</w:t>
      </w:r>
      <w:r>
        <w:rPr>
          <w:rFonts w:hint="eastAsia"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rPr>
        <w:t>年度“三公”经费财政拨款支出预算为1,992.96万元，支出决算为1,981.17万元，</w:t>
      </w:r>
      <w:r>
        <w:rPr>
          <w:rFonts w:hint="default" w:ascii="Times New Roman" w:hAnsi="Times New Roman" w:eastAsia="方正仿宋_GBK" w:cs="Times New Roman"/>
          <w:kern w:val="1"/>
          <w:sz w:val="32"/>
          <w:szCs w:val="32"/>
          <w:highlight w:val="none"/>
        </w:rPr>
        <w:t>较202</w:t>
      </w:r>
      <w:r>
        <w:rPr>
          <w:rFonts w:hint="eastAsia" w:ascii="Times New Roman" w:hAnsi="Times New Roman" w:eastAsia="方正仿宋_GBK" w:cs="Times New Roman"/>
          <w:kern w:val="1"/>
          <w:sz w:val="32"/>
          <w:szCs w:val="32"/>
          <w:highlight w:val="none"/>
          <w:lang w:val="en-US" w:eastAsia="zh-CN"/>
        </w:rPr>
        <w:t>4</w:t>
      </w:r>
      <w:r>
        <w:rPr>
          <w:rFonts w:hint="default" w:ascii="Times New Roman" w:hAnsi="Times New Roman" w:eastAsia="方正仿宋_GBK" w:cs="Times New Roman"/>
          <w:kern w:val="1"/>
          <w:sz w:val="32"/>
          <w:szCs w:val="32"/>
          <w:highlight w:val="none"/>
        </w:rPr>
        <w:t>年“三公”经费决算支出2</w:t>
      </w:r>
      <w:r>
        <w:rPr>
          <w:rFonts w:hint="eastAsia" w:ascii="Times New Roman" w:hAnsi="Times New Roman" w:eastAsia="方正仿宋_GBK" w:cs="Times New Roman"/>
          <w:kern w:val="1"/>
          <w:sz w:val="32"/>
          <w:szCs w:val="32"/>
          <w:highlight w:val="none"/>
          <w:lang w:val="en-US" w:eastAsia="zh-CN"/>
        </w:rPr>
        <w:t>,</w:t>
      </w:r>
      <w:r>
        <w:rPr>
          <w:rFonts w:hint="default" w:ascii="Times New Roman" w:hAnsi="Times New Roman" w:eastAsia="方正仿宋_GBK" w:cs="Times New Roman"/>
          <w:kern w:val="1"/>
          <w:sz w:val="32"/>
          <w:szCs w:val="32"/>
          <w:highlight w:val="none"/>
        </w:rPr>
        <w:t>119.73万元减少138.56万元，下降</w:t>
      </w:r>
      <w:r>
        <w:rPr>
          <w:rFonts w:hint="eastAsia" w:ascii="Times New Roman" w:hAnsi="Times New Roman" w:eastAsia="方正仿宋_GBK" w:cs="Times New Roman"/>
          <w:kern w:val="1"/>
          <w:sz w:val="32"/>
          <w:szCs w:val="32"/>
          <w:highlight w:val="none"/>
          <w:lang w:val="en-US" w:eastAsia="zh-CN"/>
        </w:rPr>
        <w:t>6.54</w:t>
      </w:r>
      <w:r>
        <w:rPr>
          <w:rFonts w:hint="default" w:ascii="Times New Roman" w:hAnsi="Times New Roman" w:eastAsia="方正仿宋_GBK" w:cs="Times New Roman"/>
          <w:kern w:val="1"/>
          <w:sz w:val="32"/>
          <w:szCs w:val="32"/>
          <w:highlight w:val="none"/>
        </w:rPr>
        <w:t>%。</w:t>
      </w:r>
      <w:r>
        <w:rPr>
          <w:rFonts w:hint="default" w:ascii="Times New Roman" w:hAnsi="Times New Roman" w:eastAsia="方正仿宋_GBK" w:cs="Times New Roman"/>
          <w:sz w:val="32"/>
          <w:szCs w:val="32"/>
          <w:highlight w:val="none"/>
          <w:shd w:val="clear" w:color="auto" w:fill="FFFFFF"/>
        </w:rPr>
        <w:t>预算管理方面，收入管理、支出管理、采购管理、资产管理、基建财务管理和债务等切实有效地执行了财务管理制度。非税收缴管理方面，认真做好各项非税收入征缴工作，依法收缴，款项按规定程序和要求上缴国库。</w:t>
      </w:r>
    </w:p>
    <w:p w14:paraId="034C3AD1">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1"/>
        <w:rPr>
          <w:rFonts w:hint="default" w:ascii="Times New Roman" w:hAnsi="Times New Roman" w:eastAsia="方正楷体_GBK" w:cs="Times New Roman"/>
          <w:sz w:val="32"/>
          <w:szCs w:val="32"/>
          <w:highlight w:val="none"/>
          <w:shd w:val="clear" w:color="auto" w:fill="FFFFFF"/>
          <w:lang w:eastAsia="zh-CN"/>
        </w:rPr>
      </w:pPr>
      <w:bookmarkStart w:id="27" w:name="_Toc69718333"/>
      <w:r>
        <w:rPr>
          <w:rFonts w:hint="default" w:ascii="Times New Roman" w:hAnsi="Times New Roman" w:eastAsia="方正楷体_GBK" w:cs="Times New Roman"/>
          <w:sz w:val="32"/>
          <w:szCs w:val="32"/>
          <w:highlight w:val="none"/>
          <w:shd w:val="clear" w:color="auto" w:fill="FFFFFF"/>
          <w:lang w:val="en-US" w:eastAsia="zh-CN"/>
        </w:rPr>
        <w:t>2.</w:t>
      </w:r>
      <w:r>
        <w:rPr>
          <w:rFonts w:hint="default" w:ascii="Times New Roman" w:hAnsi="Times New Roman" w:eastAsia="方正楷体_GBK" w:cs="Times New Roman"/>
          <w:sz w:val="32"/>
          <w:szCs w:val="32"/>
          <w:highlight w:val="none"/>
          <w:shd w:val="clear" w:color="auto" w:fill="FFFFFF"/>
          <w:lang w:eastAsia="zh-CN"/>
        </w:rPr>
        <w:t>效率性评价</w:t>
      </w:r>
      <w:bookmarkEnd w:id="27"/>
    </w:p>
    <w:p w14:paraId="1F19D7B0">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202</w:t>
      </w:r>
      <w:r>
        <w:rPr>
          <w:rFonts w:hint="eastAsia"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rPr>
        <w:t>年认真履行单位职能，完成了年度各项工作任务。在预算编制上，根据交通运输厅履行行政职能的需要、事业发展的总体规划，对所属单位申报的项目分轻重缓急排序后视当年财力状况择优进行安排。在项目资金使用上，规范、合理、高效，加大对项目支出的动态监管，加快项目实施进度，保证财政资金的高效使用。从项目支出绩效自评结果来看，所属单位各项目支出按照专项资金管理办法的要求使用，达到预期效果、效益。</w:t>
      </w:r>
    </w:p>
    <w:p w14:paraId="0341DD7F">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0" w:firstLineChars="200"/>
        <w:jc w:val="both"/>
        <w:textAlignment w:val="auto"/>
        <w:outlineLvl w:val="1"/>
        <w:rPr>
          <w:rFonts w:hint="default" w:ascii="Times New Roman" w:hAnsi="Times New Roman" w:eastAsia="方正楷体_GBK" w:cs="Times New Roman"/>
          <w:sz w:val="32"/>
          <w:szCs w:val="32"/>
          <w:highlight w:val="none"/>
          <w:shd w:val="clear" w:color="auto" w:fill="FFFFFF"/>
          <w:lang w:eastAsia="zh-CN"/>
        </w:rPr>
      </w:pPr>
      <w:bookmarkStart w:id="28" w:name="_Toc69718334"/>
      <w:r>
        <w:rPr>
          <w:rFonts w:hint="default" w:ascii="Times New Roman" w:hAnsi="Times New Roman" w:eastAsia="方正楷体_GBK" w:cs="Times New Roman"/>
          <w:sz w:val="32"/>
          <w:szCs w:val="32"/>
          <w:highlight w:val="none"/>
          <w:shd w:val="clear" w:color="auto" w:fill="FFFFFF"/>
          <w:lang w:val="en-US" w:eastAsia="zh-CN"/>
        </w:rPr>
        <w:t>3.</w:t>
      </w:r>
      <w:r>
        <w:rPr>
          <w:rFonts w:hint="default" w:ascii="Times New Roman" w:hAnsi="Times New Roman" w:eastAsia="方正楷体_GBK" w:cs="Times New Roman"/>
          <w:sz w:val="32"/>
          <w:szCs w:val="32"/>
          <w:highlight w:val="none"/>
          <w:shd w:val="clear" w:color="auto" w:fill="FFFFFF"/>
          <w:lang w:eastAsia="zh-CN"/>
        </w:rPr>
        <w:t>有效性评价</w:t>
      </w:r>
      <w:bookmarkEnd w:id="28"/>
    </w:p>
    <w:p w14:paraId="2F05D1D2">
      <w:pPr>
        <w:keepNext w:val="0"/>
        <w:keepLines w:val="0"/>
        <w:pageBreakBefore w:val="0"/>
        <w:widowControl/>
        <w:kinsoku/>
        <w:wordWrap/>
        <w:overflowPunct/>
        <w:topLinePunct w:val="0"/>
        <w:bidi w:val="0"/>
        <w:spacing w:line="560" w:lineRule="exact"/>
        <w:ind w:firstLine="640" w:firstLineChars="200"/>
        <w:jc w:val="left"/>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rPr>
        <w:t>202</w:t>
      </w:r>
      <w:r>
        <w:rPr>
          <w:rFonts w:hint="eastAsia"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rPr>
        <w:t>年，</w:t>
      </w:r>
      <w:r>
        <w:rPr>
          <w:rFonts w:hint="eastAsia" w:ascii="Times New Roman" w:hAnsi="Times New Roman" w:eastAsia="方正仿宋_GBK" w:cs="Times New Roman"/>
          <w:sz w:val="32"/>
          <w:szCs w:val="32"/>
          <w:highlight w:val="none"/>
          <w:lang w:val="en-US" w:eastAsia="zh-CN"/>
        </w:rPr>
        <w:t>安全发展能力得到新提升。全面落实交通运输领域17项重点维稳举措。完成国省干线3883处平交道口、2102处护栏端头整治、实施危桥改造39座、安全设施精细化提升1394公里、灾害防治306公里。建成升级监测预警平台，实现高速公路风险点位监测全覆盖。</w:t>
      </w:r>
      <w:r>
        <w:rPr>
          <w:rFonts w:hint="default" w:ascii="Times New Roman" w:hAnsi="Times New Roman" w:eastAsia="方正仿宋_GBK" w:cs="Times New Roman"/>
          <w:sz w:val="32"/>
          <w:szCs w:val="32"/>
          <w:highlight w:val="none"/>
        </w:rPr>
        <w:t>公路网建设实现新</w:t>
      </w:r>
      <w:r>
        <w:rPr>
          <w:rFonts w:hint="eastAsia" w:ascii="Times New Roman" w:hAnsi="Times New Roman" w:eastAsia="方正仿宋_GBK" w:cs="Times New Roman"/>
          <w:sz w:val="32"/>
          <w:szCs w:val="32"/>
          <w:highlight w:val="none"/>
          <w:lang w:val="en-US" w:eastAsia="zh-CN"/>
        </w:rPr>
        <w:t>跨越</w:t>
      </w:r>
      <w:r>
        <w:rPr>
          <w:rFonts w:hint="default" w:ascii="Times New Roman" w:hAnsi="Times New Roman" w:eastAsia="方正仿宋_GBK" w:cs="Times New Roman"/>
          <w:sz w:val="32"/>
          <w:szCs w:val="32"/>
          <w:highlight w:val="none"/>
        </w:rPr>
        <w:t>。</w:t>
      </w:r>
      <w:r>
        <w:rPr>
          <w:rFonts w:hint="eastAsia" w:ascii="Times New Roman" w:hAnsi="Times New Roman" w:eastAsia="方正仿宋_GBK" w:cs="Times New Roman"/>
          <w:sz w:val="32"/>
          <w:szCs w:val="32"/>
          <w:highlight w:val="none"/>
          <w:lang w:val="en-US" w:eastAsia="zh-CN"/>
        </w:rPr>
        <w:t>全年完成公路交通固定资产投资812.87亿元，同比增长15%，超额完成既定目标任务。建成27个国省干线项目，新增一条进出疆通道和5各县、1个口岸、20个3A级及以上景区景区通高速（一级）公路，实现G331线自治区境内1443公里贯穿，世界级工程乌尉高速通车运营。</w:t>
      </w:r>
    </w:p>
    <w:p w14:paraId="3567F3CD">
      <w:pPr>
        <w:pStyle w:val="21"/>
        <w:keepNext w:val="0"/>
        <w:keepLines w:val="0"/>
        <w:pageBreakBefore w:val="0"/>
        <w:numPr>
          <w:ilvl w:val="0"/>
          <w:numId w:val="4"/>
        </w:numPr>
        <w:kinsoku/>
        <w:wordWrap/>
        <w:overflowPunct/>
        <w:topLinePunct w:val="0"/>
        <w:bidi w:val="0"/>
        <w:snapToGrid w:val="0"/>
        <w:spacing w:line="560" w:lineRule="exact"/>
        <w:ind w:firstLineChars="0"/>
        <w:textAlignment w:val="auto"/>
        <w:rPr>
          <w:rStyle w:val="13"/>
          <w:rFonts w:hint="default" w:ascii="Times New Roman" w:hAnsi="Times New Roman" w:eastAsia="黑体" w:cs="Times New Roman"/>
          <w:b w:val="0"/>
          <w:bCs w:val="0"/>
          <w:spacing w:val="-4"/>
          <w:sz w:val="32"/>
          <w:szCs w:val="32"/>
          <w:highlight w:val="none"/>
        </w:rPr>
      </w:pPr>
      <w:r>
        <w:rPr>
          <w:rStyle w:val="13"/>
          <w:rFonts w:hint="default" w:ascii="Times New Roman" w:hAnsi="Times New Roman" w:eastAsia="黑体" w:cs="Times New Roman"/>
          <w:b w:val="0"/>
          <w:bCs w:val="0"/>
          <w:spacing w:val="-4"/>
          <w:sz w:val="32"/>
          <w:szCs w:val="32"/>
          <w:highlight w:val="none"/>
          <w:lang w:eastAsia="zh-CN"/>
        </w:rPr>
        <w:t>评价结论</w:t>
      </w:r>
    </w:p>
    <w:p w14:paraId="001ADCFA">
      <w:pPr>
        <w:pStyle w:val="23"/>
        <w:keepNext w:val="0"/>
        <w:keepLines w:val="0"/>
        <w:pageBreakBefore w:val="0"/>
        <w:kinsoku/>
        <w:wordWrap/>
        <w:overflowPunct/>
        <w:topLinePunct w:val="0"/>
        <w:bidi w:val="0"/>
        <w:spacing w:line="560" w:lineRule="exact"/>
        <w:ind w:firstLine="640" w:firstLineChars="200"/>
        <w:textAlignment w:val="auto"/>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202</w:t>
      </w:r>
      <w:r>
        <w:rPr>
          <w:rFonts w:hint="eastAsia" w:ascii="Times New Roman" w:hAnsi="Times New Roman" w:eastAsia="方正仿宋_GBK" w:cs="Times New Roman"/>
          <w:color w:val="auto"/>
          <w:kern w:val="2"/>
          <w:sz w:val="32"/>
          <w:szCs w:val="32"/>
          <w:highlight w:val="none"/>
          <w:lang w:val="en-US" w:eastAsia="zh-CN" w:bidi="ar-SA"/>
        </w:rPr>
        <w:t>5</w:t>
      </w:r>
      <w:r>
        <w:rPr>
          <w:rFonts w:hint="default" w:ascii="Times New Roman" w:hAnsi="Times New Roman" w:eastAsia="方正仿宋_GBK" w:cs="Times New Roman"/>
          <w:color w:val="auto"/>
          <w:kern w:val="2"/>
          <w:sz w:val="32"/>
          <w:szCs w:val="32"/>
          <w:highlight w:val="none"/>
          <w:lang w:val="en-US" w:eastAsia="zh-CN" w:bidi="ar-SA"/>
        </w:rPr>
        <w:t>年度部门整体支出绩效自评综合得分</w:t>
      </w:r>
      <w:r>
        <w:rPr>
          <w:rFonts w:hint="eastAsia" w:ascii="Times New Roman" w:hAnsi="Times New Roman" w:eastAsia="方正仿宋_GBK" w:cs="Times New Roman"/>
          <w:color w:val="auto"/>
          <w:spacing w:val="-4"/>
          <w:sz w:val="32"/>
          <w:szCs w:val="32"/>
          <w:highlight w:val="none"/>
          <w:lang w:val="en-US" w:eastAsia="zh-CN"/>
        </w:rPr>
        <w:t>97.19</w:t>
      </w:r>
      <w:r>
        <w:rPr>
          <w:rFonts w:hint="default" w:ascii="Times New Roman" w:hAnsi="Times New Roman" w:eastAsia="方正仿宋_GBK" w:cs="Times New Roman"/>
          <w:color w:val="auto"/>
          <w:kern w:val="2"/>
          <w:sz w:val="32"/>
          <w:szCs w:val="32"/>
          <w:highlight w:val="none"/>
          <w:lang w:val="en-US" w:eastAsia="zh-CN" w:bidi="ar-SA"/>
        </w:rPr>
        <w:t>分，评价结果为“优”。</w:t>
      </w:r>
      <w:r>
        <w:rPr>
          <w:rFonts w:hint="eastAsia" w:ascii="Times New Roman" w:hAnsi="Times New Roman" w:eastAsia="方正仿宋_GBK" w:cs="Times New Roman"/>
          <w:color w:val="auto"/>
          <w:kern w:val="2"/>
          <w:sz w:val="32"/>
          <w:szCs w:val="32"/>
          <w:highlight w:val="none"/>
          <w:lang w:val="en-US" w:eastAsia="zh-CN" w:bidi="ar-SA"/>
        </w:rPr>
        <w:t>其中：预算执行7.19分，管理效率30分，履职效能60分。</w:t>
      </w:r>
    </w:p>
    <w:p w14:paraId="6A62BC2F">
      <w:pPr>
        <w:pStyle w:val="9"/>
        <w:keepNext w:val="0"/>
        <w:keepLines w:val="0"/>
        <w:pageBreakBefore w:val="0"/>
        <w:widowControl/>
        <w:kinsoku/>
        <w:wordWrap/>
        <w:overflowPunct/>
        <w:topLinePunct w:val="0"/>
        <w:bidi w:val="0"/>
        <w:spacing w:beforeAutospacing="0" w:afterAutospacing="0" w:line="560" w:lineRule="exact"/>
        <w:ind w:firstLine="640" w:firstLineChars="200"/>
        <w:jc w:val="both"/>
        <w:textAlignment w:val="auto"/>
        <w:outlineLvl w:val="0"/>
        <w:rPr>
          <w:rFonts w:hint="default" w:ascii="Times New Roman" w:hAnsi="Times New Roman" w:eastAsia="方正仿宋_GBK" w:cs="Times New Roman"/>
          <w:kern w:val="2"/>
          <w:sz w:val="32"/>
          <w:szCs w:val="32"/>
          <w:highlight w:val="none"/>
        </w:rPr>
      </w:pPr>
      <w:bookmarkStart w:id="29" w:name="_Toc69718335"/>
      <w:r>
        <w:rPr>
          <w:rFonts w:hint="default" w:ascii="Times New Roman" w:hAnsi="Times New Roman" w:eastAsia="方正黑体_GBK" w:cs="Times New Roman"/>
          <w:kern w:val="2"/>
          <w:sz w:val="32"/>
          <w:szCs w:val="32"/>
          <w:highlight w:val="none"/>
          <w:lang w:val="en-US" w:eastAsia="zh-CN"/>
        </w:rPr>
        <w:t>五</w:t>
      </w:r>
      <w:r>
        <w:rPr>
          <w:rFonts w:hint="default" w:ascii="Times New Roman" w:hAnsi="Times New Roman" w:eastAsia="方正黑体_GBK" w:cs="Times New Roman"/>
          <w:kern w:val="2"/>
          <w:sz w:val="32"/>
          <w:szCs w:val="32"/>
          <w:highlight w:val="none"/>
        </w:rPr>
        <w:t>、</w:t>
      </w:r>
      <w:bookmarkEnd w:id="29"/>
      <w:r>
        <w:rPr>
          <w:rFonts w:hint="default" w:ascii="Times New Roman" w:hAnsi="Times New Roman" w:eastAsia="方正黑体_GBK" w:cs="Times New Roman"/>
          <w:kern w:val="2"/>
          <w:sz w:val="32"/>
          <w:szCs w:val="32"/>
          <w:highlight w:val="none"/>
        </w:rPr>
        <w:t>存在的主要问题及原因分析</w:t>
      </w:r>
    </w:p>
    <w:p w14:paraId="0D562383">
      <w:pPr>
        <w:pStyle w:val="5"/>
        <w:keepNext w:val="0"/>
        <w:keepLines w:val="0"/>
        <w:pageBreakBefore w:val="0"/>
        <w:numPr>
          <w:ilvl w:val="0"/>
          <w:numId w:val="0"/>
        </w:numPr>
        <w:kinsoku/>
        <w:wordWrap/>
        <w:overflowPunct/>
        <w:topLinePunct w:val="0"/>
        <w:bidi w:val="0"/>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楷体_GBK" w:cs="Times New Roman"/>
          <w:kern w:val="0"/>
          <w:sz w:val="32"/>
          <w:szCs w:val="32"/>
          <w:highlight w:val="none"/>
          <w:shd w:val="clear" w:color="auto" w:fill="FFFFFF"/>
          <w:lang w:val="en-US" w:eastAsia="zh-CN" w:bidi="ar-SA"/>
        </w:rPr>
        <w:t>（一）</w:t>
      </w:r>
      <w:r>
        <w:rPr>
          <w:rFonts w:hint="eastAsia" w:ascii="Times New Roman" w:hAnsi="Times New Roman" w:eastAsia="方正楷体_GBK" w:cs="Times New Roman"/>
          <w:kern w:val="0"/>
          <w:sz w:val="32"/>
          <w:szCs w:val="32"/>
          <w:highlight w:val="none"/>
          <w:shd w:val="clear" w:color="auto" w:fill="FFFFFF"/>
          <w:lang w:val="en-US" w:eastAsia="zh-CN" w:bidi="ar-SA"/>
        </w:rPr>
        <w:t>项目实施管理和</w:t>
      </w:r>
      <w:r>
        <w:rPr>
          <w:rFonts w:hint="default" w:ascii="Times New Roman" w:hAnsi="Times New Roman" w:eastAsia="方正楷体_GBK" w:cs="Times New Roman"/>
          <w:kern w:val="0"/>
          <w:sz w:val="32"/>
          <w:szCs w:val="32"/>
          <w:highlight w:val="none"/>
          <w:shd w:val="clear" w:color="auto" w:fill="FFFFFF"/>
          <w:lang w:val="en-US" w:eastAsia="zh-CN" w:bidi="ar-SA"/>
        </w:rPr>
        <w:t>绩效运行监控需进一步改善。</w:t>
      </w:r>
      <w:r>
        <w:rPr>
          <w:rFonts w:hint="default" w:ascii="Times New Roman" w:hAnsi="Times New Roman" w:eastAsia="方正仿宋_GBK" w:cs="Times New Roman"/>
          <w:sz w:val="32"/>
          <w:szCs w:val="32"/>
          <w:highlight w:val="none"/>
        </w:rPr>
        <w:t>从项目支出预算执行进度和绩效目标完成程度实施的“双监控”情况来看，部分单位在项目组织、管理、实施等方面仍然存在薄弱环节，存在项目实施进度迟缓、项目资金支出迟缓等问题，</w:t>
      </w:r>
      <w:r>
        <w:rPr>
          <w:rFonts w:hint="eastAsia" w:ascii="Times New Roman" w:hAnsi="Times New Roman" w:eastAsia="方正仿宋_GBK" w:cs="Times New Roman"/>
          <w:sz w:val="32"/>
          <w:szCs w:val="32"/>
          <w:highlight w:val="none"/>
          <w:lang w:eastAsia="zh-CN"/>
        </w:rPr>
        <w:t>有待</w:t>
      </w:r>
      <w:r>
        <w:rPr>
          <w:rFonts w:hint="default" w:ascii="Times New Roman" w:hAnsi="Times New Roman" w:eastAsia="方正仿宋_GBK" w:cs="Times New Roman"/>
          <w:sz w:val="32"/>
          <w:szCs w:val="32"/>
          <w:highlight w:val="none"/>
        </w:rPr>
        <w:t>进一步加强对预算执行的动态监管和过程控制，及时纠偏，督促项目实施推进。</w:t>
      </w:r>
    </w:p>
    <w:p w14:paraId="168FDF9E">
      <w:pPr>
        <w:keepNext w:val="0"/>
        <w:keepLines w:val="0"/>
        <w:pageBreakBefore w:val="0"/>
        <w:kinsoku/>
        <w:wordWrap/>
        <w:overflowPunct/>
        <w:topLinePunct w:val="0"/>
        <w:bidi w:val="0"/>
        <w:snapToGrid w:val="0"/>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楷体_GBK" w:cs="Times New Roman"/>
          <w:kern w:val="0"/>
          <w:sz w:val="32"/>
          <w:szCs w:val="32"/>
          <w:highlight w:val="none"/>
          <w:shd w:val="clear" w:color="auto" w:fill="FFFFFF"/>
          <w:lang w:val="en-US" w:eastAsia="zh-CN" w:bidi="ar-SA"/>
        </w:rPr>
        <w:t>（二）预算编制工作有待进一步细化。</w:t>
      </w:r>
      <w:r>
        <w:rPr>
          <w:rFonts w:hint="default" w:ascii="Times New Roman" w:hAnsi="Times New Roman" w:eastAsia="方正仿宋_GBK" w:cs="Times New Roman"/>
          <w:spacing w:val="20"/>
          <w:sz w:val="32"/>
          <w:szCs w:val="32"/>
          <w:highlight w:val="none"/>
          <w:shd w:val="clear" w:color="auto" w:fill="FFFFFF"/>
          <w:lang w:val="en-US" w:eastAsia="zh-CN"/>
        </w:rPr>
        <w:t>有待</w:t>
      </w:r>
      <w:r>
        <w:rPr>
          <w:rFonts w:hint="default" w:ascii="Times New Roman" w:hAnsi="Times New Roman" w:eastAsia="方正仿宋_GBK" w:cs="Times New Roman"/>
          <w:sz w:val="32"/>
          <w:szCs w:val="32"/>
          <w:highlight w:val="none"/>
        </w:rPr>
        <w:t>加强</w:t>
      </w:r>
      <w:r>
        <w:rPr>
          <w:rFonts w:hint="default" w:ascii="Times New Roman" w:hAnsi="Times New Roman" w:eastAsia="方正仿宋_GBK" w:cs="Times New Roman"/>
          <w:spacing w:val="20"/>
          <w:sz w:val="32"/>
          <w:szCs w:val="32"/>
          <w:highlight w:val="none"/>
          <w:shd w:val="clear" w:color="auto" w:fill="FFFFFF"/>
        </w:rPr>
        <w:t>预算编制管理，提高项目支出事前审核控制，进一步提高预算编制的合理性及执行力。</w:t>
      </w:r>
    </w:p>
    <w:p w14:paraId="665B5060">
      <w:pPr>
        <w:pStyle w:val="9"/>
        <w:keepNext w:val="0"/>
        <w:keepLines w:val="0"/>
        <w:pageBreakBefore w:val="0"/>
        <w:widowControl/>
        <w:kinsoku/>
        <w:wordWrap/>
        <w:overflowPunct/>
        <w:topLinePunct w:val="0"/>
        <w:bidi w:val="0"/>
        <w:spacing w:beforeAutospacing="0" w:afterAutospacing="0"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楷体_GBK" w:cs="Times New Roman"/>
          <w:kern w:val="0"/>
          <w:sz w:val="32"/>
          <w:szCs w:val="32"/>
          <w:highlight w:val="none"/>
          <w:shd w:val="clear" w:color="auto" w:fill="FFFFFF"/>
          <w:lang w:val="en-US" w:eastAsia="zh-CN" w:bidi="ar-SA"/>
        </w:rPr>
        <w:t>（三）固定资产管理有待进一步加强。</w:t>
      </w:r>
      <w:r>
        <w:rPr>
          <w:rFonts w:hint="default" w:ascii="Times New Roman" w:hAnsi="Times New Roman" w:eastAsia="方正仿宋_GBK" w:cs="Times New Roman"/>
          <w:sz w:val="32"/>
          <w:szCs w:val="32"/>
          <w:highlight w:val="none"/>
        </w:rPr>
        <w:t>固定资产规模大，数量多，日常监督管理有待进一步加强。</w:t>
      </w:r>
      <w:bookmarkStart w:id="30" w:name="_Toc69718336"/>
    </w:p>
    <w:p w14:paraId="341EDD4A">
      <w:pPr>
        <w:pStyle w:val="9"/>
        <w:keepNext w:val="0"/>
        <w:keepLines w:val="0"/>
        <w:pageBreakBefore w:val="0"/>
        <w:widowControl/>
        <w:kinsoku/>
        <w:wordWrap/>
        <w:overflowPunct/>
        <w:topLinePunct w:val="0"/>
        <w:bidi w:val="0"/>
        <w:spacing w:beforeAutospacing="0" w:afterAutospacing="0" w:line="560" w:lineRule="exact"/>
        <w:ind w:firstLine="640" w:firstLineChars="200"/>
        <w:textAlignment w:val="auto"/>
        <w:outlineLvl w:val="0"/>
        <w:rPr>
          <w:rFonts w:hint="default" w:ascii="Times New Roman" w:hAnsi="Times New Roman" w:eastAsia="方正黑体_GBK" w:cs="Times New Roman"/>
          <w:kern w:val="2"/>
          <w:sz w:val="32"/>
          <w:szCs w:val="32"/>
          <w:highlight w:val="none"/>
          <w:lang w:val="en-US" w:eastAsia="zh-CN"/>
        </w:rPr>
      </w:pPr>
    </w:p>
    <w:p w14:paraId="6998E125">
      <w:pPr>
        <w:pStyle w:val="9"/>
        <w:keepNext w:val="0"/>
        <w:keepLines w:val="0"/>
        <w:pageBreakBefore w:val="0"/>
        <w:widowControl/>
        <w:kinsoku/>
        <w:wordWrap/>
        <w:overflowPunct/>
        <w:topLinePunct w:val="0"/>
        <w:bidi w:val="0"/>
        <w:spacing w:beforeAutospacing="0" w:afterAutospacing="0" w:line="560" w:lineRule="exact"/>
        <w:ind w:firstLine="640" w:firstLineChars="200"/>
        <w:textAlignment w:val="auto"/>
        <w:outlineLvl w:val="0"/>
        <w:rPr>
          <w:rFonts w:hint="default" w:ascii="Times New Roman" w:hAnsi="Times New Roman" w:eastAsia="方正黑体_GBK" w:cs="Times New Roman"/>
          <w:kern w:val="2"/>
          <w:sz w:val="32"/>
          <w:szCs w:val="32"/>
          <w:highlight w:val="none"/>
        </w:rPr>
      </w:pPr>
      <w:r>
        <w:rPr>
          <w:rFonts w:hint="default" w:ascii="Times New Roman" w:hAnsi="Times New Roman" w:eastAsia="方正黑体_GBK" w:cs="Times New Roman"/>
          <w:kern w:val="2"/>
          <w:sz w:val="32"/>
          <w:szCs w:val="32"/>
          <w:highlight w:val="none"/>
          <w:lang w:val="en-US" w:eastAsia="zh-CN"/>
        </w:rPr>
        <w:t>六</w:t>
      </w:r>
      <w:r>
        <w:rPr>
          <w:rFonts w:hint="default" w:ascii="Times New Roman" w:hAnsi="Times New Roman" w:eastAsia="方正黑体_GBK" w:cs="Times New Roman"/>
          <w:kern w:val="2"/>
          <w:sz w:val="32"/>
          <w:szCs w:val="32"/>
          <w:highlight w:val="none"/>
        </w:rPr>
        <w:t>、</w:t>
      </w:r>
      <w:bookmarkEnd w:id="30"/>
      <w:r>
        <w:rPr>
          <w:rFonts w:hint="default" w:ascii="Times New Roman" w:hAnsi="Times New Roman" w:eastAsia="方正黑体_GBK" w:cs="Times New Roman"/>
          <w:kern w:val="2"/>
          <w:sz w:val="32"/>
          <w:szCs w:val="32"/>
          <w:highlight w:val="none"/>
        </w:rPr>
        <w:t>改进措施和建议</w:t>
      </w:r>
    </w:p>
    <w:p w14:paraId="2EEE8968">
      <w:pPr>
        <w:keepNext w:val="0"/>
        <w:keepLines w:val="0"/>
        <w:pageBreakBefore w:val="0"/>
        <w:kinsoku/>
        <w:wordWrap/>
        <w:overflowPunct/>
        <w:topLinePunct w:val="0"/>
        <w:bidi w:val="0"/>
        <w:spacing w:line="560" w:lineRule="exact"/>
        <w:ind w:firstLine="787" w:firstLineChars="246"/>
        <w:textAlignment w:val="auto"/>
        <w:outlineLvl w:val="1"/>
        <w:rPr>
          <w:rFonts w:hint="eastAsia" w:ascii="Times New Roman" w:hAnsi="Times New Roman" w:eastAsia="方正楷体_GBK" w:cs="Times New Roman"/>
          <w:sz w:val="32"/>
          <w:szCs w:val="32"/>
          <w:highlight w:val="none"/>
          <w:lang w:val="en-US" w:eastAsia="zh-CN"/>
        </w:rPr>
      </w:pPr>
      <w:bookmarkStart w:id="31" w:name="_Toc69718337"/>
      <w:r>
        <w:rPr>
          <w:rFonts w:hint="default" w:ascii="Times New Roman" w:hAnsi="Times New Roman" w:eastAsia="方正楷体_GBK" w:cs="Times New Roman"/>
          <w:sz w:val="32"/>
          <w:szCs w:val="32"/>
          <w:highlight w:val="none"/>
        </w:rPr>
        <w:t>（一）</w:t>
      </w:r>
      <w:bookmarkEnd w:id="31"/>
      <w:r>
        <w:rPr>
          <w:rFonts w:hint="default" w:ascii="Times New Roman" w:hAnsi="Times New Roman" w:eastAsia="方正楷体_GBK" w:cs="Times New Roman"/>
          <w:sz w:val="32"/>
          <w:szCs w:val="32"/>
          <w:highlight w:val="none"/>
        </w:rPr>
        <w:t>加强对项目实施进度的监管，确保项目按计划完</w:t>
      </w:r>
      <w:r>
        <w:rPr>
          <w:rFonts w:hint="eastAsia" w:ascii="Times New Roman" w:hAnsi="Times New Roman" w:eastAsia="方正楷体_GBK" w:cs="Times New Roman"/>
          <w:sz w:val="32"/>
          <w:szCs w:val="32"/>
          <w:highlight w:val="none"/>
          <w:lang w:val="en-US" w:eastAsia="zh-CN"/>
        </w:rPr>
        <w:t>成</w:t>
      </w:r>
    </w:p>
    <w:p w14:paraId="29390128">
      <w:pPr>
        <w:keepNext w:val="0"/>
        <w:keepLines w:val="0"/>
        <w:pageBreakBefore w:val="0"/>
        <w:kinsoku/>
        <w:wordWrap/>
        <w:overflowPunct/>
        <w:topLinePunct w:val="0"/>
        <w:bidi w:val="0"/>
        <w:spacing w:line="560" w:lineRule="exact"/>
        <w:ind w:firstLine="787" w:firstLineChars="246"/>
        <w:textAlignment w:val="auto"/>
        <w:outlineLvl w:val="1"/>
        <w:rPr>
          <w:rFonts w:hint="default" w:ascii="Times New Roman" w:hAnsi="Times New Roman" w:eastAsia="方正仿宋_GBK" w:cs="Times New Roman"/>
          <w:sz w:val="32"/>
          <w:szCs w:val="32"/>
          <w:highlight w:val="none"/>
        </w:rPr>
      </w:pPr>
      <w:r>
        <w:rPr>
          <w:rStyle w:val="13"/>
          <w:rFonts w:hint="default" w:ascii="Times New Roman" w:hAnsi="Times New Roman" w:eastAsia="方正仿宋_GBK" w:cs="Times New Roman"/>
          <w:b w:val="0"/>
          <w:sz w:val="32"/>
          <w:szCs w:val="32"/>
          <w:highlight w:val="none"/>
          <w:lang w:eastAsia="zh-CN"/>
        </w:rPr>
        <w:t>组织各单位建立项目进度计划，包括项目可行性研究、环评、施工、竣工验收、工程结算等重要节点的工作用时，同时组织单位编制项目整体实施方案，单位可根据该项目计划和实施方案及时追踪项目各环节完成情况，对于拖延环节及时做出相应对策。</w:t>
      </w:r>
      <w:r>
        <w:rPr>
          <w:rStyle w:val="13"/>
          <w:rFonts w:hint="eastAsia" w:ascii="Times New Roman" w:hAnsi="Times New Roman" w:eastAsia="方正仿宋_GBK" w:cs="Times New Roman"/>
          <w:b w:val="0"/>
          <w:sz w:val="32"/>
          <w:szCs w:val="32"/>
          <w:highlight w:val="none"/>
          <w:lang w:val="en-US" w:eastAsia="zh-CN"/>
        </w:rPr>
        <w:t>同时</w:t>
      </w:r>
      <w:r>
        <w:rPr>
          <w:rStyle w:val="13"/>
          <w:rFonts w:hint="default" w:ascii="Times New Roman" w:hAnsi="Times New Roman" w:eastAsia="方正仿宋_GBK" w:cs="Times New Roman"/>
          <w:b w:val="0"/>
          <w:sz w:val="32"/>
          <w:szCs w:val="32"/>
          <w:highlight w:val="none"/>
          <w:lang w:eastAsia="zh-CN"/>
        </w:rPr>
        <w:t>加强实施项目检查、跟踪等控制措施的力度，把对项目的监督管理工作执行到位，在项目实施过程中注重目标管理，根据申报设定的目标来跟踪项目的实施，并在目标发生偏离时及时纠正，以促使目标按时完成。</w:t>
      </w:r>
    </w:p>
    <w:p w14:paraId="29DE847D">
      <w:pPr>
        <w:keepNext w:val="0"/>
        <w:keepLines w:val="0"/>
        <w:pageBreakBefore w:val="0"/>
        <w:kinsoku/>
        <w:wordWrap/>
        <w:overflowPunct/>
        <w:topLinePunct w:val="0"/>
        <w:bidi w:val="0"/>
        <w:spacing w:line="560" w:lineRule="exact"/>
        <w:ind w:firstLine="787" w:firstLineChars="246"/>
        <w:textAlignment w:val="auto"/>
        <w:outlineLvl w:val="1"/>
        <w:rPr>
          <w:rFonts w:hint="default" w:ascii="Times New Roman" w:hAnsi="Times New Roman" w:eastAsia="方正楷体_GBK" w:cs="Times New Roman"/>
          <w:kern w:val="0"/>
          <w:sz w:val="32"/>
          <w:szCs w:val="32"/>
          <w:highlight w:val="none"/>
          <w:shd w:val="clear" w:color="auto" w:fill="FFFFFF"/>
        </w:rPr>
      </w:pPr>
      <w:bookmarkStart w:id="32" w:name="_Toc69718338"/>
      <w:r>
        <w:rPr>
          <w:rFonts w:hint="default" w:ascii="Times New Roman" w:hAnsi="Times New Roman" w:eastAsia="方正楷体_GBK" w:cs="Times New Roman"/>
          <w:kern w:val="0"/>
          <w:sz w:val="32"/>
          <w:szCs w:val="32"/>
          <w:highlight w:val="none"/>
          <w:shd w:val="clear" w:color="auto" w:fill="FFFFFF"/>
        </w:rPr>
        <w:t>（二）细化预算编制工作，保障全年支出</w:t>
      </w:r>
      <w:bookmarkEnd w:id="32"/>
    </w:p>
    <w:p w14:paraId="2B5FD5EE">
      <w:pPr>
        <w:pStyle w:val="9"/>
        <w:keepNext w:val="0"/>
        <w:keepLines w:val="0"/>
        <w:pageBreakBefore w:val="0"/>
        <w:widowControl/>
        <w:shd w:val="clear" w:color="auto" w:fill="FFFFFF"/>
        <w:kinsoku/>
        <w:wordWrap/>
        <w:overflowPunct/>
        <w:topLinePunct w:val="0"/>
        <w:bidi w:val="0"/>
        <w:spacing w:beforeAutospacing="0" w:afterAutospacing="0" w:line="560" w:lineRule="exact"/>
        <w:ind w:firstLine="645"/>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shd w:val="clear" w:color="auto" w:fill="FFFFFF"/>
        </w:rPr>
        <w:t>严格按照预算编制的相关制度和要求，本着“勤俭节约，保障运转”的原则进行预算编制工作。</w:t>
      </w:r>
      <w:r>
        <w:rPr>
          <w:rFonts w:hint="default" w:ascii="Times New Roman" w:hAnsi="Times New Roman" w:eastAsia="方正仿宋_GBK" w:cs="Times New Roman"/>
          <w:spacing w:val="20"/>
          <w:sz w:val="32"/>
          <w:szCs w:val="32"/>
          <w:highlight w:val="none"/>
          <w:shd w:val="clear" w:color="auto" w:fill="FFFFFF"/>
        </w:rPr>
        <w:t>通过对事项的事前论证、事中监督、事后评价，加大对专项资金的统筹力度，有效解决预算编制的长远性、连续性、科学性，从而提高预算编制的精确度</w:t>
      </w:r>
      <w:r>
        <w:rPr>
          <w:rFonts w:hint="default" w:ascii="Times New Roman" w:hAnsi="Times New Roman" w:eastAsia="方正仿宋_GBK" w:cs="Times New Roman"/>
          <w:sz w:val="32"/>
          <w:szCs w:val="32"/>
          <w:highlight w:val="none"/>
          <w:shd w:val="clear" w:color="auto" w:fill="FFFFFF"/>
        </w:rPr>
        <w:t>。同时进一步加强同财政部门的沟通协调。</w:t>
      </w:r>
    </w:p>
    <w:p w14:paraId="5B9EF641">
      <w:pPr>
        <w:keepNext w:val="0"/>
        <w:keepLines w:val="0"/>
        <w:pageBreakBefore w:val="0"/>
        <w:kinsoku/>
        <w:wordWrap/>
        <w:overflowPunct/>
        <w:topLinePunct w:val="0"/>
        <w:bidi w:val="0"/>
        <w:spacing w:line="560" w:lineRule="exact"/>
        <w:ind w:firstLine="787" w:firstLineChars="246"/>
        <w:textAlignment w:val="auto"/>
        <w:outlineLvl w:val="1"/>
        <w:rPr>
          <w:rFonts w:hint="default" w:ascii="Times New Roman" w:hAnsi="Times New Roman" w:eastAsia="方正楷体_GBK" w:cs="Times New Roman"/>
          <w:kern w:val="0"/>
          <w:sz w:val="32"/>
          <w:szCs w:val="32"/>
          <w:highlight w:val="none"/>
          <w:shd w:val="clear" w:color="auto" w:fill="FFFFFF"/>
        </w:rPr>
      </w:pPr>
      <w:bookmarkStart w:id="33" w:name="_Toc69718339"/>
      <w:r>
        <w:rPr>
          <w:rFonts w:hint="default" w:ascii="Times New Roman" w:hAnsi="Times New Roman" w:eastAsia="方正楷体_GBK" w:cs="Times New Roman"/>
          <w:kern w:val="0"/>
          <w:sz w:val="32"/>
          <w:szCs w:val="32"/>
          <w:highlight w:val="none"/>
          <w:shd w:val="clear" w:color="auto" w:fill="FFFFFF"/>
        </w:rPr>
        <w:t>（三）加强固定资产管理，提高资产使用效益</w:t>
      </w:r>
      <w:bookmarkEnd w:id="33"/>
    </w:p>
    <w:p w14:paraId="05DD22A5">
      <w:pPr>
        <w:pStyle w:val="2"/>
        <w:keepNext w:val="0"/>
        <w:keepLines w:val="0"/>
        <w:pageBreakBefore w:val="0"/>
        <w:kinsoku/>
        <w:wordWrap/>
        <w:overflowPunct/>
        <w:topLinePunct w:val="0"/>
        <w:bidi w:val="0"/>
        <w:spacing w:after="0" w:line="560" w:lineRule="exact"/>
        <w:ind w:left="0" w:leftChars="0" w:firstLine="640"/>
        <w:textAlignment w:val="auto"/>
        <w:rPr>
          <w:rFonts w:hint="default" w:ascii="Times New Roman" w:hAnsi="Times New Roman" w:eastAsia="方正仿宋_GBK" w:cs="Times New Roman"/>
          <w:color w:val="auto"/>
          <w:kern w:val="0"/>
          <w:szCs w:val="32"/>
          <w:highlight w:val="none"/>
          <w:shd w:val="clear" w:color="auto" w:fill="FFFFFF"/>
          <w:lang w:bidi="ar"/>
        </w:rPr>
      </w:pPr>
      <w:r>
        <w:rPr>
          <w:rFonts w:hint="default" w:ascii="Times New Roman" w:hAnsi="Times New Roman" w:eastAsia="方正仿宋_GBK" w:cs="Times New Roman"/>
          <w:color w:val="auto"/>
          <w:kern w:val="0"/>
          <w:szCs w:val="32"/>
          <w:highlight w:val="none"/>
          <w:shd w:val="clear" w:color="auto" w:fill="FFFFFF"/>
          <w:lang w:bidi="ar"/>
        </w:rPr>
        <w:t>加强对固定资产的清查、登记、统计汇总及日常监督检查工作，做到家底清楚、账账相符、账卡相符、账实相符，防止资产流失。优化资产配置，做到物尽其用，发挥资产的最大使用效益。</w:t>
      </w:r>
      <w:bookmarkStart w:id="34" w:name="_Toc69718340"/>
    </w:p>
    <w:p w14:paraId="28CA8D70">
      <w:pPr>
        <w:pStyle w:val="2"/>
        <w:keepNext w:val="0"/>
        <w:keepLines w:val="0"/>
        <w:pageBreakBefore w:val="0"/>
        <w:kinsoku/>
        <w:wordWrap/>
        <w:overflowPunct/>
        <w:topLinePunct w:val="0"/>
        <w:bidi w:val="0"/>
        <w:spacing w:after="0" w:line="560" w:lineRule="exact"/>
        <w:ind w:left="0" w:leftChars="0" w:firstLine="640"/>
        <w:textAlignment w:val="auto"/>
        <w:outlineLvl w:val="0"/>
        <w:rPr>
          <w:rFonts w:hint="default" w:ascii="Times New Roman" w:hAnsi="Times New Roman" w:eastAsia="方正黑体_GBK" w:cs="Times New Roman"/>
          <w:highlight w:val="none"/>
          <w:lang w:bidi="ar"/>
        </w:rPr>
      </w:pPr>
      <w:r>
        <w:rPr>
          <w:rFonts w:hint="default" w:ascii="Times New Roman" w:hAnsi="Times New Roman" w:eastAsia="方正黑体_GBK" w:cs="Times New Roman"/>
          <w:color w:val="auto"/>
          <w:kern w:val="0"/>
          <w:szCs w:val="32"/>
          <w:highlight w:val="none"/>
          <w:shd w:val="clear" w:color="auto" w:fill="FFFFFF"/>
          <w:lang w:val="en-US" w:eastAsia="zh-CN" w:bidi="ar"/>
        </w:rPr>
        <w:t>七</w:t>
      </w:r>
      <w:r>
        <w:rPr>
          <w:rFonts w:hint="default" w:ascii="Times New Roman" w:hAnsi="Times New Roman" w:eastAsia="方正黑体_GBK" w:cs="Times New Roman"/>
          <w:color w:val="auto"/>
          <w:kern w:val="0"/>
          <w:szCs w:val="32"/>
          <w:highlight w:val="none"/>
          <w:shd w:val="clear" w:color="auto" w:fill="FFFFFF"/>
          <w:lang w:bidi="ar"/>
        </w:rPr>
        <w:t>、</w:t>
      </w:r>
      <w:r>
        <w:rPr>
          <w:rFonts w:hint="default" w:ascii="Times New Roman" w:hAnsi="Times New Roman" w:eastAsia="方正黑体_GBK" w:cs="Times New Roman"/>
          <w:highlight w:val="none"/>
          <w:lang w:bidi="ar"/>
        </w:rPr>
        <w:t>附表：</w:t>
      </w:r>
    </w:p>
    <w:p w14:paraId="34063243">
      <w:pPr>
        <w:pStyle w:val="2"/>
        <w:keepNext w:val="0"/>
        <w:keepLines w:val="0"/>
        <w:pageBreakBefore w:val="0"/>
        <w:kinsoku/>
        <w:wordWrap/>
        <w:overflowPunct/>
        <w:topLinePunct w:val="0"/>
        <w:bidi w:val="0"/>
        <w:spacing w:after="0" w:line="560" w:lineRule="exact"/>
        <w:ind w:left="0" w:leftChars="0" w:firstLine="640"/>
        <w:textAlignment w:val="auto"/>
        <w:rPr>
          <w:rFonts w:hint="default" w:ascii="Times New Roman" w:hAnsi="Times New Roman" w:eastAsia="方正黑体_GBK" w:cs="Times New Roman"/>
          <w:highlight w:val="none"/>
          <w:lang w:bidi="ar"/>
        </w:rPr>
      </w:pPr>
      <w:r>
        <w:rPr>
          <w:rFonts w:hint="default" w:ascii="Times New Roman" w:hAnsi="Times New Roman" w:eastAsia="方正黑体_GBK" w:cs="Times New Roman"/>
          <w:highlight w:val="none"/>
          <w:lang w:bidi="ar"/>
        </w:rPr>
        <w:t>《</w:t>
      </w:r>
      <w:r>
        <w:rPr>
          <w:rFonts w:hint="default" w:ascii="Times New Roman" w:hAnsi="Times New Roman" w:eastAsia="方正仿宋_GBK" w:cs="Times New Roman"/>
          <w:highlight w:val="none"/>
          <w:lang w:bidi="ar"/>
        </w:rPr>
        <w:t>新疆维吾尔自治区交通运输厅整体支出绩效目标自评表</w:t>
      </w:r>
      <w:r>
        <w:rPr>
          <w:rFonts w:hint="default" w:ascii="Times New Roman" w:hAnsi="Times New Roman" w:eastAsia="方正黑体_GBK" w:cs="Times New Roman"/>
          <w:highlight w:val="none"/>
          <w:lang w:bidi="ar"/>
        </w:rPr>
        <w:t>》</w:t>
      </w:r>
      <w:bookmarkEnd w:id="34"/>
    </w:p>
    <w:p w14:paraId="610E0A47">
      <w:pPr>
        <w:pStyle w:val="2"/>
        <w:spacing w:after="0" w:line="560" w:lineRule="exact"/>
        <w:ind w:left="0" w:leftChars="0" w:firstLine="640"/>
        <w:rPr>
          <w:rFonts w:hint="default" w:ascii="Times New Roman" w:hAnsi="Times New Roman" w:eastAsia="方正黑体_GBK" w:cs="Times New Roman"/>
          <w:highlight w:val="none"/>
          <w:lang w:bidi="ar"/>
        </w:rPr>
      </w:pPr>
      <w:r>
        <w:rPr>
          <w:rFonts w:hint="default" w:ascii="Times New Roman" w:hAnsi="Times New Roman" w:eastAsia="方正黑体_GBK" w:cs="Times New Roman"/>
          <w:highlight w:val="none"/>
          <w:lang w:bidi="ar"/>
        </w:rPr>
        <w:br w:type="page"/>
      </w:r>
    </w:p>
    <w:tbl>
      <w:tblPr>
        <w:tblStyle w:val="11"/>
        <w:tblW w:w="1006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11"/>
        <w:gridCol w:w="1049"/>
        <w:gridCol w:w="922"/>
        <w:gridCol w:w="600"/>
        <w:gridCol w:w="746"/>
        <w:gridCol w:w="560"/>
        <w:gridCol w:w="930"/>
        <w:gridCol w:w="1400"/>
        <w:gridCol w:w="978"/>
        <w:gridCol w:w="1040"/>
        <w:gridCol w:w="728"/>
      </w:tblGrid>
      <w:tr w14:paraId="18FC1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10064" w:type="dxa"/>
            <w:gridSpan w:val="11"/>
            <w:tcBorders>
              <w:top w:val="nil"/>
              <w:left w:val="nil"/>
              <w:bottom w:val="nil"/>
              <w:right w:val="nil"/>
            </w:tcBorders>
            <w:shd w:val="clear" w:color="auto" w:fill="auto"/>
            <w:vAlign w:val="center"/>
          </w:tcPr>
          <w:p w14:paraId="12847E1F">
            <w:pPr>
              <w:keepNext w:val="0"/>
              <w:keepLines w:val="0"/>
              <w:widowControl/>
              <w:suppressLineNumbers w:val="0"/>
              <w:jc w:val="center"/>
              <w:textAlignment w:val="center"/>
              <w:rPr>
                <w:rFonts w:ascii="华文中宋" w:hAnsi="华文中宋" w:eastAsia="华文中宋" w:cs="华文中宋"/>
                <w:b/>
                <w:bCs/>
                <w:i w:val="0"/>
                <w:iCs w:val="0"/>
                <w:color w:val="000000"/>
                <w:sz w:val="40"/>
                <w:szCs w:val="40"/>
                <w:highlight w:val="none"/>
                <w:u w:val="none"/>
              </w:rPr>
            </w:pPr>
            <w:r>
              <w:rPr>
                <w:rFonts w:hint="eastAsia" w:ascii="华文中宋" w:hAnsi="华文中宋" w:eastAsia="华文中宋" w:cs="华文中宋"/>
                <w:b/>
                <w:bCs/>
                <w:i w:val="0"/>
                <w:iCs w:val="0"/>
                <w:color w:val="000000"/>
                <w:kern w:val="0"/>
                <w:sz w:val="40"/>
                <w:szCs w:val="40"/>
                <w:highlight w:val="none"/>
                <w:u w:val="none"/>
                <w:lang w:val="en-US" w:eastAsia="zh-CN" w:bidi="ar"/>
              </w:rPr>
              <w:t>新疆维吾尔自治区交通运输厅整体支出绩效自评表</w:t>
            </w:r>
          </w:p>
        </w:tc>
      </w:tr>
      <w:tr w14:paraId="75913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jc w:val="center"/>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F1ECF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部门（单位）名称</w:t>
            </w:r>
          </w:p>
          <w:p w14:paraId="3435A6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（盖章）</w:t>
            </w:r>
          </w:p>
        </w:tc>
        <w:tc>
          <w:tcPr>
            <w:tcW w:w="790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E4BAF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新疆维吾尔自治区交通运输厅本级</w:t>
            </w:r>
          </w:p>
        </w:tc>
      </w:tr>
      <w:tr w14:paraId="17F42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751B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部门资金（万元）</w:t>
            </w:r>
          </w:p>
        </w:tc>
        <w:tc>
          <w:tcPr>
            <w:tcW w:w="922" w:type="dxa"/>
            <w:vMerge w:val="restart"/>
            <w:tcBorders>
              <w:top w:val="single" w:color="000000" w:sz="4" w:space="0"/>
              <w:left w:val="single" w:color="000000" w:sz="4" w:space="0"/>
              <w:right w:val="single" w:color="000000" w:sz="4" w:space="0"/>
            </w:tcBorders>
            <w:shd w:val="clear" w:color="auto" w:fill="auto"/>
            <w:vAlign w:val="center"/>
          </w:tcPr>
          <w:p w14:paraId="08363DF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年度总资金</w:t>
            </w:r>
          </w:p>
        </w:tc>
        <w:tc>
          <w:tcPr>
            <w:tcW w:w="13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FA11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年初预算数</w:t>
            </w:r>
          </w:p>
        </w:tc>
        <w:tc>
          <w:tcPr>
            <w:tcW w:w="14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BEB5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全年预算数</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E47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全年执行数</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3F1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96D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执行率</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29BF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得分</w:t>
            </w:r>
          </w:p>
        </w:tc>
      </w:tr>
      <w:tr w14:paraId="6D99D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jc w:val="center"/>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3D8C0">
            <w:pPr>
              <w:jc w:val="center"/>
              <w:rPr>
                <w:rFonts w:hint="eastAsia" w:ascii="宋体" w:hAnsi="宋体" w:eastAsia="宋体" w:cs="宋体"/>
                <w:i w:val="0"/>
                <w:iCs w:val="0"/>
                <w:color w:val="000000"/>
                <w:sz w:val="20"/>
                <w:szCs w:val="20"/>
                <w:highlight w:val="none"/>
                <w:u w:val="none"/>
              </w:rPr>
            </w:pPr>
          </w:p>
        </w:tc>
        <w:tc>
          <w:tcPr>
            <w:tcW w:w="922" w:type="dxa"/>
            <w:vMerge w:val="continue"/>
            <w:tcBorders>
              <w:left w:val="single" w:color="000000" w:sz="4" w:space="0"/>
              <w:bottom w:val="single" w:color="000000" w:sz="4" w:space="0"/>
              <w:right w:val="single" w:color="000000" w:sz="4" w:space="0"/>
            </w:tcBorders>
            <w:shd w:val="clear" w:color="auto" w:fill="auto"/>
            <w:vAlign w:val="center"/>
          </w:tcPr>
          <w:p w14:paraId="03C689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3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7E71E9">
            <w:pPr>
              <w:keepNext w:val="0"/>
              <w:keepLines w:val="0"/>
              <w:widowControl/>
              <w:suppressLineNumbers w:val="0"/>
              <w:jc w:val="center"/>
              <w:textAlignment w:val="center"/>
              <w:rPr>
                <w:rFonts w:hint="default"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2</w:t>
            </w:r>
            <w:r>
              <w:rPr>
                <w:rFonts w:hint="eastAsia" w:ascii="宋体" w:hAnsi="宋体" w:cs="宋体"/>
                <w:b w:val="0"/>
                <w:bCs w:val="0"/>
                <w:i w:val="0"/>
                <w:iCs w:val="0"/>
                <w:color w:val="000000"/>
                <w:kern w:val="0"/>
                <w:sz w:val="18"/>
                <w:szCs w:val="18"/>
                <w:highlight w:val="none"/>
                <w:u w:val="none"/>
                <w:lang w:val="en-US" w:eastAsia="zh-CN" w:bidi="ar"/>
              </w:rPr>
              <w:t>,</w:t>
            </w:r>
            <w:r>
              <w:rPr>
                <w:rFonts w:hint="eastAsia" w:ascii="宋体" w:hAnsi="宋体" w:eastAsia="宋体" w:cs="宋体"/>
                <w:b w:val="0"/>
                <w:bCs w:val="0"/>
                <w:i w:val="0"/>
                <w:iCs w:val="0"/>
                <w:color w:val="000000"/>
                <w:kern w:val="0"/>
                <w:sz w:val="18"/>
                <w:szCs w:val="18"/>
                <w:highlight w:val="none"/>
                <w:u w:val="none"/>
                <w:lang w:val="en-US" w:eastAsia="zh-CN" w:bidi="ar"/>
              </w:rPr>
              <w:t>240</w:t>
            </w:r>
            <w:r>
              <w:rPr>
                <w:rFonts w:hint="eastAsia" w:ascii="宋体" w:hAnsi="宋体" w:cs="宋体"/>
                <w:b w:val="0"/>
                <w:bCs w:val="0"/>
                <w:i w:val="0"/>
                <w:iCs w:val="0"/>
                <w:color w:val="000000"/>
                <w:kern w:val="0"/>
                <w:sz w:val="18"/>
                <w:szCs w:val="18"/>
                <w:highlight w:val="none"/>
                <w:u w:val="none"/>
                <w:lang w:val="en-US" w:eastAsia="zh-CN" w:bidi="ar"/>
              </w:rPr>
              <w:t>,</w:t>
            </w:r>
            <w:r>
              <w:rPr>
                <w:rFonts w:hint="eastAsia" w:ascii="宋体" w:hAnsi="宋体" w:eastAsia="宋体" w:cs="宋体"/>
                <w:b w:val="0"/>
                <w:bCs w:val="0"/>
                <w:i w:val="0"/>
                <w:iCs w:val="0"/>
                <w:color w:val="000000"/>
                <w:kern w:val="0"/>
                <w:sz w:val="18"/>
                <w:szCs w:val="18"/>
                <w:highlight w:val="none"/>
                <w:u w:val="none"/>
                <w:lang w:val="en-US" w:eastAsia="zh-CN" w:bidi="ar"/>
              </w:rPr>
              <w:t>021.91</w:t>
            </w:r>
          </w:p>
        </w:tc>
        <w:tc>
          <w:tcPr>
            <w:tcW w:w="14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BFEB39">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r>
              <w:rPr>
                <w:rFonts w:hint="eastAsia" w:ascii="宋体" w:hAnsi="宋体" w:eastAsia="宋体" w:cs="宋体"/>
                <w:b w:val="0"/>
                <w:bCs w:val="0"/>
                <w:i w:val="0"/>
                <w:iCs w:val="0"/>
                <w:color w:val="000000"/>
                <w:kern w:val="0"/>
                <w:sz w:val="18"/>
                <w:szCs w:val="18"/>
                <w:highlight w:val="none"/>
                <w:u w:val="none"/>
                <w:lang w:val="en-US" w:eastAsia="zh-CN" w:bidi="ar"/>
              </w:rPr>
              <w:t xml:space="preserve"> 2,952,763.80 </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48D34">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r>
              <w:rPr>
                <w:rFonts w:hint="eastAsia" w:ascii="宋体" w:hAnsi="宋体" w:eastAsia="宋体" w:cs="宋体"/>
                <w:b w:val="0"/>
                <w:bCs w:val="0"/>
                <w:i w:val="0"/>
                <w:iCs w:val="0"/>
                <w:color w:val="000000"/>
                <w:kern w:val="0"/>
                <w:sz w:val="18"/>
                <w:szCs w:val="18"/>
                <w:highlight w:val="none"/>
                <w:u w:val="none"/>
                <w:lang w:val="en-US" w:eastAsia="zh-CN" w:bidi="ar"/>
              </w:rPr>
              <w:t xml:space="preserve"> 2,122,966.96 </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8CC37">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highlight w:val="none"/>
                <w:u w:val="none"/>
              </w:rPr>
            </w:pPr>
            <w:r>
              <w:rPr>
                <w:rFonts w:hint="eastAsia" w:ascii="宋体" w:hAnsi="宋体" w:eastAsia="宋体" w:cs="宋体"/>
                <w:b w:val="0"/>
                <w:bCs w:val="0"/>
                <w:i w:val="0"/>
                <w:iCs w:val="0"/>
                <w:color w:val="000000"/>
                <w:kern w:val="0"/>
                <w:sz w:val="18"/>
                <w:szCs w:val="18"/>
                <w:highlight w:val="none"/>
                <w:u w:val="none"/>
                <w:lang w:val="en-US" w:eastAsia="zh-CN" w:bidi="ar"/>
              </w:rPr>
              <w:t>10</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BB23F">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highlight w:val="none"/>
                <w:u w:val="none"/>
              </w:rPr>
            </w:pPr>
            <w:r>
              <w:rPr>
                <w:rFonts w:hint="eastAsia" w:ascii="宋体" w:hAnsi="宋体" w:eastAsia="宋体" w:cs="宋体"/>
                <w:b w:val="0"/>
                <w:bCs w:val="0"/>
                <w:i w:val="0"/>
                <w:iCs w:val="0"/>
                <w:color w:val="000000"/>
                <w:kern w:val="0"/>
                <w:sz w:val="18"/>
                <w:szCs w:val="18"/>
                <w:highlight w:val="none"/>
                <w:u w:val="none"/>
                <w:lang w:val="en-US" w:eastAsia="zh-CN" w:bidi="ar"/>
              </w:rPr>
              <w:t>71.90%</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9750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highlight w:val="none"/>
                <w:u w:val="none"/>
              </w:rPr>
            </w:pPr>
            <w:r>
              <w:rPr>
                <w:rFonts w:hint="eastAsia" w:ascii="宋体" w:hAnsi="宋体" w:eastAsia="宋体" w:cs="宋体"/>
                <w:b w:val="0"/>
                <w:bCs w:val="0"/>
                <w:i w:val="0"/>
                <w:iCs w:val="0"/>
                <w:color w:val="000000"/>
                <w:kern w:val="0"/>
                <w:sz w:val="18"/>
                <w:szCs w:val="18"/>
                <w:highlight w:val="none"/>
                <w:u w:val="none"/>
                <w:lang w:val="en-US" w:eastAsia="zh-CN" w:bidi="ar"/>
              </w:rPr>
              <w:t xml:space="preserve"> 7.19 </w:t>
            </w:r>
          </w:p>
        </w:tc>
      </w:tr>
      <w:tr w14:paraId="39708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9C1B7">
            <w:pPr>
              <w:jc w:val="center"/>
              <w:rPr>
                <w:rFonts w:hint="eastAsia" w:ascii="宋体" w:hAnsi="宋体" w:eastAsia="宋体" w:cs="宋体"/>
                <w:i w:val="0"/>
                <w:iCs w:val="0"/>
                <w:color w:val="000000"/>
                <w:sz w:val="20"/>
                <w:szCs w:val="20"/>
                <w:highlight w:val="none"/>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EF58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其中：上级安排（万元）</w:t>
            </w:r>
          </w:p>
        </w:tc>
        <w:tc>
          <w:tcPr>
            <w:tcW w:w="13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A3FE31">
            <w:pPr>
              <w:keepNext w:val="0"/>
              <w:keepLines w:val="0"/>
              <w:widowControl/>
              <w:suppressLineNumbers w:val="0"/>
              <w:jc w:val="center"/>
              <w:textAlignment w:val="center"/>
              <w:rPr>
                <w:rFonts w:hint="default"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1</w:t>
            </w:r>
            <w:r>
              <w:rPr>
                <w:rFonts w:hint="eastAsia" w:ascii="宋体" w:hAnsi="宋体" w:cs="宋体"/>
                <w:b w:val="0"/>
                <w:bCs w:val="0"/>
                <w:i w:val="0"/>
                <w:iCs w:val="0"/>
                <w:color w:val="000000"/>
                <w:kern w:val="0"/>
                <w:sz w:val="18"/>
                <w:szCs w:val="18"/>
                <w:highlight w:val="none"/>
                <w:u w:val="none"/>
                <w:lang w:val="en-US" w:eastAsia="zh-CN" w:bidi="ar"/>
              </w:rPr>
              <w:t>,</w:t>
            </w:r>
            <w:r>
              <w:rPr>
                <w:rFonts w:hint="eastAsia" w:ascii="宋体" w:hAnsi="宋体" w:eastAsia="宋体" w:cs="宋体"/>
                <w:b w:val="0"/>
                <w:bCs w:val="0"/>
                <w:i w:val="0"/>
                <w:iCs w:val="0"/>
                <w:color w:val="000000"/>
                <w:kern w:val="0"/>
                <w:sz w:val="18"/>
                <w:szCs w:val="18"/>
                <w:highlight w:val="none"/>
                <w:u w:val="none"/>
                <w:lang w:val="en-US" w:eastAsia="zh-CN" w:bidi="ar"/>
              </w:rPr>
              <w:t>746</w:t>
            </w:r>
            <w:r>
              <w:rPr>
                <w:rFonts w:hint="eastAsia" w:ascii="宋体" w:hAnsi="宋体" w:cs="宋体"/>
                <w:b w:val="0"/>
                <w:bCs w:val="0"/>
                <w:i w:val="0"/>
                <w:iCs w:val="0"/>
                <w:color w:val="000000"/>
                <w:kern w:val="0"/>
                <w:sz w:val="18"/>
                <w:szCs w:val="18"/>
                <w:highlight w:val="none"/>
                <w:u w:val="none"/>
                <w:lang w:val="en-US" w:eastAsia="zh-CN" w:bidi="ar"/>
              </w:rPr>
              <w:t>,</w:t>
            </w:r>
            <w:r>
              <w:rPr>
                <w:rFonts w:hint="eastAsia" w:ascii="宋体" w:hAnsi="宋体" w:eastAsia="宋体" w:cs="宋体"/>
                <w:b w:val="0"/>
                <w:bCs w:val="0"/>
                <w:i w:val="0"/>
                <w:iCs w:val="0"/>
                <w:color w:val="000000"/>
                <w:kern w:val="0"/>
                <w:sz w:val="18"/>
                <w:szCs w:val="18"/>
                <w:highlight w:val="none"/>
                <w:u w:val="none"/>
                <w:lang w:val="en-US" w:eastAsia="zh-CN" w:bidi="ar"/>
              </w:rPr>
              <w:t>701</w:t>
            </w:r>
            <w:r>
              <w:rPr>
                <w:rFonts w:hint="eastAsia" w:ascii="宋体" w:hAnsi="宋体" w:cs="宋体"/>
                <w:b w:val="0"/>
                <w:bCs w:val="0"/>
                <w:i w:val="0"/>
                <w:iCs w:val="0"/>
                <w:color w:val="000000"/>
                <w:kern w:val="0"/>
                <w:sz w:val="18"/>
                <w:szCs w:val="18"/>
                <w:highlight w:val="none"/>
                <w:u w:val="none"/>
                <w:lang w:val="en-US" w:eastAsia="zh-CN" w:bidi="ar"/>
              </w:rPr>
              <w:t>.00</w:t>
            </w:r>
          </w:p>
        </w:tc>
        <w:tc>
          <w:tcPr>
            <w:tcW w:w="14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405705">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 xml:space="preserve"> 2,435,267.92 </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CC85E">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 xml:space="preserve"> 1,623,214.30 </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9BD2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highlight w:val="none"/>
                <w:u w:val="none"/>
              </w:rPr>
            </w:pPr>
            <w:r>
              <w:rPr>
                <w:rFonts w:hint="default" w:ascii="Times New Roman" w:hAnsi="Times New Roman" w:eastAsia="宋体" w:cs="Times New Roman"/>
                <w:i w:val="0"/>
                <w:iCs w:val="0"/>
                <w:color w:val="000000"/>
                <w:kern w:val="0"/>
                <w:sz w:val="24"/>
                <w:szCs w:val="24"/>
                <w:highlight w:val="none"/>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EC1C3">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highlight w:val="none"/>
                <w:u w:val="none"/>
              </w:rPr>
            </w:pPr>
            <w:r>
              <w:rPr>
                <w:rFonts w:hint="default" w:ascii="Times New Roman" w:hAnsi="Times New Roman" w:eastAsia="宋体" w:cs="Times New Roman"/>
                <w:i w:val="0"/>
                <w:iCs w:val="0"/>
                <w:color w:val="000000"/>
                <w:kern w:val="0"/>
                <w:sz w:val="24"/>
                <w:szCs w:val="24"/>
                <w:highlight w:val="none"/>
                <w:u w:val="none"/>
                <w:lang w:val="en-US" w:eastAsia="zh-CN" w:bidi="ar"/>
              </w:rPr>
              <w:t>—</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4241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highlight w:val="none"/>
                <w:u w:val="none"/>
              </w:rPr>
            </w:pPr>
            <w:r>
              <w:rPr>
                <w:rFonts w:hint="default" w:ascii="Times New Roman" w:hAnsi="Times New Roman" w:eastAsia="宋体" w:cs="Times New Roman"/>
                <w:i w:val="0"/>
                <w:iCs w:val="0"/>
                <w:color w:val="000000"/>
                <w:kern w:val="0"/>
                <w:sz w:val="24"/>
                <w:szCs w:val="24"/>
                <w:highlight w:val="none"/>
                <w:u w:val="none"/>
                <w:lang w:val="en-US" w:eastAsia="zh-CN" w:bidi="ar"/>
              </w:rPr>
              <w:t>—</w:t>
            </w:r>
          </w:p>
        </w:tc>
      </w:tr>
      <w:tr w14:paraId="6B016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0" w:hRule="atLeast"/>
          <w:jc w:val="center"/>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D7312">
            <w:pPr>
              <w:jc w:val="center"/>
              <w:rPr>
                <w:rFonts w:hint="eastAsia" w:ascii="宋体" w:hAnsi="宋体" w:eastAsia="宋体" w:cs="宋体"/>
                <w:i w:val="0"/>
                <w:iCs w:val="0"/>
                <w:color w:val="000000"/>
                <w:sz w:val="20"/>
                <w:szCs w:val="20"/>
                <w:highlight w:val="none"/>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D67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本级安排（万元）</w:t>
            </w:r>
          </w:p>
        </w:tc>
        <w:tc>
          <w:tcPr>
            <w:tcW w:w="13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8B5B8C">
            <w:pPr>
              <w:keepNext w:val="0"/>
              <w:keepLines w:val="0"/>
              <w:widowControl/>
              <w:suppressLineNumbers w:val="0"/>
              <w:jc w:val="center"/>
              <w:textAlignment w:val="center"/>
              <w:rPr>
                <w:rFonts w:hint="default"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474</w:t>
            </w:r>
            <w:r>
              <w:rPr>
                <w:rFonts w:hint="eastAsia" w:ascii="宋体" w:hAnsi="宋体" w:cs="宋体"/>
                <w:b w:val="0"/>
                <w:bCs w:val="0"/>
                <w:i w:val="0"/>
                <w:iCs w:val="0"/>
                <w:color w:val="000000"/>
                <w:kern w:val="0"/>
                <w:sz w:val="18"/>
                <w:szCs w:val="18"/>
                <w:highlight w:val="none"/>
                <w:u w:val="none"/>
                <w:lang w:val="en-US" w:eastAsia="zh-CN" w:bidi="ar"/>
              </w:rPr>
              <w:t>,</w:t>
            </w:r>
            <w:r>
              <w:rPr>
                <w:rFonts w:hint="eastAsia" w:ascii="宋体" w:hAnsi="宋体" w:eastAsia="宋体" w:cs="宋体"/>
                <w:b w:val="0"/>
                <w:bCs w:val="0"/>
                <w:i w:val="0"/>
                <w:iCs w:val="0"/>
                <w:color w:val="000000"/>
                <w:kern w:val="0"/>
                <w:sz w:val="18"/>
                <w:szCs w:val="18"/>
                <w:highlight w:val="none"/>
                <w:u w:val="none"/>
                <w:lang w:val="en-US" w:eastAsia="zh-CN" w:bidi="ar"/>
              </w:rPr>
              <w:t>981.52</w:t>
            </w:r>
          </w:p>
        </w:tc>
        <w:tc>
          <w:tcPr>
            <w:tcW w:w="14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545A7F">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 xml:space="preserve"> 496,646.01 </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D9EAF">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 xml:space="preserve"> 492,622.61 </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71524">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highlight w:val="none"/>
                <w:u w:val="none"/>
              </w:rPr>
            </w:pPr>
            <w:r>
              <w:rPr>
                <w:rFonts w:hint="default" w:ascii="Times New Roman" w:hAnsi="Times New Roman" w:eastAsia="宋体" w:cs="Times New Roman"/>
                <w:i w:val="0"/>
                <w:iCs w:val="0"/>
                <w:color w:val="000000"/>
                <w:kern w:val="0"/>
                <w:sz w:val="24"/>
                <w:szCs w:val="24"/>
                <w:highlight w:val="none"/>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043EE">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highlight w:val="none"/>
                <w:u w:val="none"/>
              </w:rPr>
            </w:pPr>
            <w:r>
              <w:rPr>
                <w:rFonts w:hint="default" w:ascii="Times New Roman" w:hAnsi="Times New Roman" w:eastAsia="宋体" w:cs="Times New Roman"/>
                <w:i w:val="0"/>
                <w:iCs w:val="0"/>
                <w:color w:val="000000"/>
                <w:kern w:val="0"/>
                <w:sz w:val="24"/>
                <w:szCs w:val="24"/>
                <w:highlight w:val="none"/>
                <w:u w:val="none"/>
                <w:lang w:val="en-US" w:eastAsia="zh-CN" w:bidi="ar"/>
              </w:rPr>
              <w:t>—</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6302D">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highlight w:val="none"/>
                <w:u w:val="none"/>
              </w:rPr>
            </w:pPr>
            <w:r>
              <w:rPr>
                <w:rFonts w:hint="default" w:ascii="Times New Roman" w:hAnsi="Times New Roman" w:eastAsia="宋体" w:cs="Times New Roman"/>
                <w:i w:val="0"/>
                <w:iCs w:val="0"/>
                <w:color w:val="000000"/>
                <w:kern w:val="0"/>
                <w:sz w:val="24"/>
                <w:szCs w:val="24"/>
                <w:highlight w:val="none"/>
                <w:u w:val="none"/>
                <w:lang w:val="en-US" w:eastAsia="zh-CN" w:bidi="ar"/>
              </w:rPr>
              <w:t>—</w:t>
            </w:r>
          </w:p>
        </w:tc>
      </w:tr>
      <w:tr w14:paraId="53207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0" w:hRule="atLeast"/>
          <w:jc w:val="center"/>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1119AA">
            <w:pPr>
              <w:jc w:val="center"/>
              <w:rPr>
                <w:rFonts w:hint="eastAsia" w:ascii="宋体" w:hAnsi="宋体" w:eastAsia="宋体" w:cs="宋体"/>
                <w:i w:val="0"/>
                <w:iCs w:val="0"/>
                <w:color w:val="000000"/>
                <w:sz w:val="20"/>
                <w:szCs w:val="20"/>
                <w:highlight w:val="none"/>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85BE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3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A74460">
            <w:pPr>
              <w:keepNext w:val="0"/>
              <w:keepLines w:val="0"/>
              <w:widowControl/>
              <w:suppressLineNumbers w:val="0"/>
              <w:jc w:val="center"/>
              <w:textAlignment w:val="center"/>
              <w:rPr>
                <w:rFonts w:hint="default"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18</w:t>
            </w:r>
            <w:r>
              <w:rPr>
                <w:rFonts w:hint="eastAsia" w:ascii="宋体" w:hAnsi="宋体" w:cs="宋体"/>
                <w:b w:val="0"/>
                <w:bCs w:val="0"/>
                <w:i w:val="0"/>
                <w:iCs w:val="0"/>
                <w:color w:val="000000"/>
                <w:kern w:val="0"/>
                <w:sz w:val="18"/>
                <w:szCs w:val="18"/>
                <w:highlight w:val="none"/>
                <w:u w:val="none"/>
                <w:lang w:val="en-US" w:eastAsia="zh-CN" w:bidi="ar"/>
              </w:rPr>
              <w:t>,</w:t>
            </w:r>
            <w:r>
              <w:rPr>
                <w:rFonts w:hint="eastAsia" w:ascii="宋体" w:hAnsi="宋体" w:eastAsia="宋体" w:cs="宋体"/>
                <w:b w:val="0"/>
                <w:bCs w:val="0"/>
                <w:i w:val="0"/>
                <w:iCs w:val="0"/>
                <w:color w:val="000000"/>
                <w:kern w:val="0"/>
                <w:sz w:val="18"/>
                <w:szCs w:val="18"/>
                <w:highlight w:val="none"/>
                <w:u w:val="none"/>
                <w:lang w:val="en-US" w:eastAsia="zh-CN" w:bidi="ar"/>
              </w:rPr>
              <w:t>339.39</w:t>
            </w:r>
          </w:p>
        </w:tc>
        <w:tc>
          <w:tcPr>
            <w:tcW w:w="14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336BD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r>
              <w:rPr>
                <w:rFonts w:hint="eastAsia" w:ascii="宋体" w:hAnsi="宋体" w:eastAsia="宋体" w:cs="宋体"/>
                <w:b w:val="0"/>
                <w:bCs w:val="0"/>
                <w:i w:val="0"/>
                <w:iCs w:val="0"/>
                <w:color w:val="000000"/>
                <w:kern w:val="0"/>
                <w:sz w:val="18"/>
                <w:szCs w:val="18"/>
                <w:highlight w:val="none"/>
                <w:u w:val="none"/>
                <w:lang w:val="en-US" w:eastAsia="zh-CN" w:bidi="ar"/>
              </w:rPr>
              <w:t xml:space="preserve"> 20,849.87 </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C766B">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18"/>
                <w:szCs w:val="18"/>
                <w:highlight w:val="none"/>
                <w:u w:val="none"/>
              </w:rPr>
            </w:pPr>
            <w:r>
              <w:rPr>
                <w:rFonts w:hint="eastAsia" w:ascii="宋体" w:hAnsi="宋体" w:eastAsia="宋体" w:cs="宋体"/>
                <w:b w:val="0"/>
                <w:bCs w:val="0"/>
                <w:i w:val="0"/>
                <w:iCs w:val="0"/>
                <w:color w:val="000000"/>
                <w:kern w:val="0"/>
                <w:sz w:val="18"/>
                <w:szCs w:val="18"/>
                <w:highlight w:val="none"/>
                <w:u w:val="none"/>
                <w:lang w:val="en-US" w:eastAsia="zh-CN" w:bidi="ar"/>
              </w:rPr>
              <w:t xml:space="preserve"> 7,130.05 </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7DE59">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highlight w:val="none"/>
                <w:u w:val="none"/>
              </w:rPr>
            </w:pPr>
            <w:r>
              <w:rPr>
                <w:rFonts w:hint="default" w:ascii="Times New Roman" w:hAnsi="Times New Roman" w:eastAsia="宋体" w:cs="Times New Roman"/>
                <w:i w:val="0"/>
                <w:iCs w:val="0"/>
                <w:color w:val="000000"/>
                <w:kern w:val="0"/>
                <w:sz w:val="24"/>
                <w:szCs w:val="24"/>
                <w:highlight w:val="none"/>
                <w:u w:val="none"/>
                <w:lang w:val="en-US" w:eastAsia="zh-CN" w:bidi="ar"/>
              </w:rPr>
              <w:t>—</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36FC5">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highlight w:val="none"/>
                <w:u w:val="none"/>
              </w:rPr>
            </w:pPr>
            <w:r>
              <w:rPr>
                <w:rFonts w:hint="default" w:ascii="Times New Roman" w:hAnsi="Times New Roman" w:eastAsia="宋体" w:cs="Times New Roman"/>
                <w:i w:val="0"/>
                <w:iCs w:val="0"/>
                <w:color w:val="000000"/>
                <w:kern w:val="0"/>
                <w:sz w:val="24"/>
                <w:szCs w:val="24"/>
                <w:highlight w:val="none"/>
                <w:u w:val="none"/>
                <w:lang w:val="en-US" w:eastAsia="zh-CN" w:bidi="ar"/>
              </w:rPr>
              <w:t>—</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B1D17">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highlight w:val="none"/>
                <w:u w:val="none"/>
              </w:rPr>
            </w:pPr>
            <w:r>
              <w:rPr>
                <w:rFonts w:hint="default" w:ascii="Times New Roman" w:hAnsi="Times New Roman" w:eastAsia="宋体" w:cs="Times New Roman"/>
                <w:i w:val="0"/>
                <w:iCs w:val="0"/>
                <w:color w:val="000000"/>
                <w:kern w:val="0"/>
                <w:sz w:val="24"/>
                <w:szCs w:val="24"/>
                <w:highlight w:val="none"/>
                <w:u w:val="none"/>
                <w:lang w:val="en-US" w:eastAsia="zh-CN" w:bidi="ar"/>
              </w:rPr>
              <w:t>—</w:t>
            </w:r>
          </w:p>
        </w:tc>
      </w:tr>
      <w:tr w14:paraId="618AD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6C48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年度总目标</w:t>
            </w:r>
          </w:p>
        </w:tc>
        <w:tc>
          <w:tcPr>
            <w:tcW w:w="515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1AD14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预期目标</w:t>
            </w:r>
          </w:p>
        </w:tc>
        <w:tc>
          <w:tcPr>
            <w:tcW w:w="27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7B5F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实际完成情况</w:t>
            </w:r>
          </w:p>
        </w:tc>
      </w:tr>
      <w:tr w14:paraId="03BC7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3" w:hRule="atLeast"/>
          <w:jc w:val="center"/>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9B534">
            <w:pPr>
              <w:jc w:val="center"/>
              <w:rPr>
                <w:rFonts w:hint="eastAsia" w:ascii="宋体" w:hAnsi="宋体" w:eastAsia="宋体" w:cs="宋体"/>
                <w:i w:val="0"/>
                <w:iCs w:val="0"/>
                <w:color w:val="000000"/>
                <w:sz w:val="20"/>
                <w:szCs w:val="20"/>
                <w:highlight w:val="none"/>
                <w:u w:val="none"/>
              </w:rPr>
            </w:pPr>
          </w:p>
        </w:tc>
        <w:tc>
          <w:tcPr>
            <w:tcW w:w="515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EC23D2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坚持以习近平新时代中国特色社会主义思想为指导，全面贯彻党的二十大和二十届二中全会、中央经济工作会议精神，完整准确全面贯彻新时代党的治疆方略，深入学习贯彻习近平总书记关于交通运输工作的重要论述精神，贯彻落实自治区党委十届历次全会、全国交通运输工作会议精神，坚持推进中国式现代化这个最大的政治，坚持高质量发展这个新时代的硬道理，牢牢把握新疆在国家全局中的战略定位、交通运输在自治区高质量发展中的地位作用，坚持稳中求进工作总基调，完整、准确、全面贯彻新发展理念，紧紧围绕丝绸之路经济带核心区、新疆自贸试验区、“八大产业集群”建设，着力提信心、稳投资、建路网、保畅通、促转型、抓创新、防风险、提质效，加快构建安全、便捷、高效、绿色、经济、包容、韧性的可持续交通体系，推动交通运输实现质的有效提升和量的合理增长，为更好建设美丽新疆提供更加坚实有力的交通运输服务保障。重点做好以下几个方面的工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（一）落实总体国家安全观，打造高质量的安全稳定应急保障体系。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（二）抓好交通投资建设，打造高质量的交通基础设施体系。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（三）扩大高水平对外开放，打造高质量的国际道路运输体系。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（四）推进交通强国试点，打造高质量发展的先行示范引领体系。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（五）统筹推进建管养运，打造高质量的“四好农村路”发展体系。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（六）聚焦“人享其行、物畅其流”，打造高质量的出行服务保障体系。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（七）坚持科技赋能创新驱动，打造高质量的智慧绿色发展体系。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（八）加强法治政府建设，打造高质量的行业治理体系。</w:t>
            </w:r>
          </w:p>
        </w:tc>
        <w:tc>
          <w:tcPr>
            <w:tcW w:w="27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6A65B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交通运输厅整体支出年度总体目标较好完成。全年完成公路交通固定资产投资812.17亿元，建成27个国省干线项目，新增1条进出疆通道和5个县、1个口岸、20个3A级及以上景区通高速（一级）公路，实现G331线自治区境内1443公路贯通，世界级工程乌尉高速通车运营。完成国省干线3883处平交道口、2102处护栏端头政治，实施危桥改造39座、安全设施精细化提升1394公里、灾害防治306公里。安全发展能力得到新提升，路网建设实现新跨越。</w:t>
            </w:r>
          </w:p>
        </w:tc>
      </w:tr>
      <w:tr w14:paraId="4BD0E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75A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9F8A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5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671F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6650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3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9F3C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D73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52C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实际完成值</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F44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得分</w:t>
            </w:r>
          </w:p>
        </w:tc>
      </w:tr>
      <w:tr w14:paraId="7390E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2" w:hRule="atLeast"/>
          <w:jc w:val="center"/>
        </w:trPr>
        <w:tc>
          <w:tcPr>
            <w:tcW w:w="11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5614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管理效率</w:t>
            </w:r>
          </w:p>
        </w:tc>
        <w:tc>
          <w:tcPr>
            <w:tcW w:w="10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B312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5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A18B3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保障全年公路养护总里程</w:t>
            </w: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38D4C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&gt;=18000公里</w:t>
            </w:r>
          </w:p>
        </w:tc>
        <w:tc>
          <w:tcPr>
            <w:tcW w:w="23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F7D6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公路养护统计年报</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2B5F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FE6D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19237公里</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87286">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r>
      <w:tr w14:paraId="02C19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jc w:val="center"/>
        </w:trPr>
        <w:tc>
          <w:tcPr>
            <w:tcW w:w="11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9DB947">
            <w:pPr>
              <w:jc w:val="center"/>
              <w:rPr>
                <w:rFonts w:hint="eastAsia" w:ascii="宋体" w:hAnsi="宋体" w:eastAsia="宋体" w:cs="宋体"/>
                <w:i w:val="0"/>
                <w:iCs w:val="0"/>
                <w:color w:val="000000"/>
                <w:sz w:val="20"/>
                <w:szCs w:val="20"/>
                <w:highlight w:val="none"/>
                <w:u w:val="none"/>
              </w:rPr>
            </w:pP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92C673">
            <w:pPr>
              <w:jc w:val="center"/>
              <w:rPr>
                <w:rFonts w:hint="eastAsia" w:ascii="宋体" w:hAnsi="宋体" w:eastAsia="宋体" w:cs="宋体"/>
                <w:i w:val="0"/>
                <w:iCs w:val="0"/>
                <w:color w:val="000000"/>
                <w:sz w:val="20"/>
                <w:szCs w:val="20"/>
                <w:highlight w:val="none"/>
                <w:u w:val="none"/>
              </w:rPr>
            </w:pPr>
          </w:p>
        </w:tc>
        <w:tc>
          <w:tcPr>
            <w:tcW w:w="15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6AF8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国省道沥青路面技术状况检测覆盖率</w:t>
            </w: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4F41A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23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0507B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“十五五”公路养护管理发展纲要</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AD21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C0BE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A33C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r>
      <w:tr w14:paraId="6D996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jc w:val="center"/>
        </w:trPr>
        <w:tc>
          <w:tcPr>
            <w:tcW w:w="11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015A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履职效能</w:t>
            </w: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197C0">
            <w:pPr>
              <w:jc w:val="center"/>
              <w:rPr>
                <w:rFonts w:hint="eastAsia" w:ascii="宋体" w:hAnsi="宋体" w:eastAsia="宋体" w:cs="宋体"/>
                <w:i w:val="0"/>
                <w:iCs w:val="0"/>
                <w:color w:val="000000"/>
                <w:sz w:val="20"/>
                <w:szCs w:val="20"/>
                <w:highlight w:val="none"/>
                <w:u w:val="none"/>
              </w:rPr>
            </w:pPr>
          </w:p>
        </w:tc>
        <w:tc>
          <w:tcPr>
            <w:tcW w:w="15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B8D34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完成公路交通投资</w:t>
            </w: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5252A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&gt;=800亿元</w:t>
            </w:r>
          </w:p>
        </w:tc>
        <w:tc>
          <w:tcPr>
            <w:tcW w:w="23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2807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年度工作报告</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36F5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B3AD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812.17亿元</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FF74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r>
      <w:tr w14:paraId="57B7B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jc w:val="center"/>
        </w:trPr>
        <w:tc>
          <w:tcPr>
            <w:tcW w:w="11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41769D">
            <w:pPr>
              <w:jc w:val="center"/>
              <w:rPr>
                <w:rFonts w:hint="eastAsia" w:ascii="宋体" w:hAnsi="宋体" w:eastAsia="宋体" w:cs="宋体"/>
                <w:i w:val="0"/>
                <w:iCs w:val="0"/>
                <w:color w:val="000000"/>
                <w:sz w:val="20"/>
                <w:szCs w:val="20"/>
                <w:highlight w:val="none"/>
                <w:u w:val="none"/>
              </w:rPr>
            </w:pP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C26B8">
            <w:pPr>
              <w:jc w:val="center"/>
              <w:rPr>
                <w:rFonts w:hint="eastAsia" w:ascii="宋体" w:hAnsi="宋体" w:eastAsia="宋体" w:cs="宋体"/>
                <w:i w:val="0"/>
                <w:iCs w:val="0"/>
                <w:color w:val="000000"/>
                <w:sz w:val="20"/>
                <w:szCs w:val="20"/>
                <w:highlight w:val="none"/>
                <w:u w:val="none"/>
              </w:rPr>
            </w:pPr>
          </w:p>
        </w:tc>
        <w:tc>
          <w:tcPr>
            <w:tcW w:w="15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9CE3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路面预防性养护工程实施里程</w:t>
            </w: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E256C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&gt;=1400公里</w:t>
            </w:r>
          </w:p>
        </w:tc>
        <w:tc>
          <w:tcPr>
            <w:tcW w:w="23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7408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年度工作报告</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A32C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3995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1900公里</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2E7B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r>
      <w:tr w14:paraId="6A718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jc w:val="center"/>
        </w:trPr>
        <w:tc>
          <w:tcPr>
            <w:tcW w:w="11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FF0D05">
            <w:pPr>
              <w:jc w:val="center"/>
              <w:rPr>
                <w:rFonts w:hint="eastAsia" w:ascii="宋体" w:hAnsi="宋体" w:eastAsia="宋体" w:cs="宋体"/>
                <w:i w:val="0"/>
                <w:iCs w:val="0"/>
                <w:color w:val="000000"/>
                <w:sz w:val="20"/>
                <w:szCs w:val="20"/>
                <w:highlight w:val="none"/>
                <w:u w:val="none"/>
              </w:rPr>
            </w:pP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3F521">
            <w:pPr>
              <w:jc w:val="center"/>
              <w:rPr>
                <w:rFonts w:hint="eastAsia" w:ascii="宋体" w:hAnsi="宋体" w:eastAsia="宋体" w:cs="宋体"/>
                <w:i w:val="0"/>
                <w:iCs w:val="0"/>
                <w:color w:val="000000"/>
                <w:sz w:val="20"/>
                <w:szCs w:val="20"/>
                <w:highlight w:val="none"/>
                <w:u w:val="none"/>
              </w:rPr>
            </w:pPr>
          </w:p>
        </w:tc>
        <w:tc>
          <w:tcPr>
            <w:tcW w:w="15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FAAEB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全年新改建农村公路</w:t>
            </w: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F9C36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&gt;=6000公里</w:t>
            </w:r>
          </w:p>
        </w:tc>
        <w:tc>
          <w:tcPr>
            <w:tcW w:w="23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032C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年度工作报告</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7D09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4DC6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7843公里</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8978F">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r>
      <w:tr w14:paraId="437EB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11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5C46B">
            <w:pPr>
              <w:jc w:val="center"/>
              <w:rPr>
                <w:rFonts w:hint="eastAsia" w:ascii="宋体" w:hAnsi="宋体" w:eastAsia="宋体" w:cs="宋体"/>
                <w:i w:val="0"/>
                <w:iCs w:val="0"/>
                <w:color w:val="000000"/>
                <w:sz w:val="20"/>
                <w:szCs w:val="20"/>
                <w:highlight w:val="none"/>
                <w:u w:val="none"/>
              </w:rPr>
            </w:pP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52D89">
            <w:pPr>
              <w:jc w:val="center"/>
              <w:rPr>
                <w:rFonts w:hint="eastAsia" w:ascii="宋体" w:hAnsi="宋体" w:eastAsia="宋体" w:cs="宋体"/>
                <w:i w:val="0"/>
                <w:iCs w:val="0"/>
                <w:color w:val="000000"/>
                <w:sz w:val="20"/>
                <w:szCs w:val="20"/>
                <w:highlight w:val="none"/>
                <w:u w:val="none"/>
              </w:rPr>
            </w:pPr>
          </w:p>
        </w:tc>
        <w:tc>
          <w:tcPr>
            <w:tcW w:w="15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3263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普通国省干线公路市场化日常养护里程</w:t>
            </w: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2A171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&gt;=750公里</w:t>
            </w:r>
          </w:p>
        </w:tc>
        <w:tc>
          <w:tcPr>
            <w:tcW w:w="23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C5D0E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年度工作报告</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4D0B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39B1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1000公里</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0369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r>
      <w:tr w14:paraId="4D9DF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11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237EAF">
            <w:pPr>
              <w:jc w:val="center"/>
              <w:rPr>
                <w:rFonts w:hint="eastAsia" w:ascii="宋体" w:hAnsi="宋体" w:eastAsia="宋体" w:cs="宋体"/>
                <w:i w:val="0"/>
                <w:iCs w:val="0"/>
                <w:color w:val="000000"/>
                <w:sz w:val="20"/>
                <w:szCs w:val="20"/>
                <w:highlight w:val="none"/>
                <w:u w:val="none"/>
              </w:rPr>
            </w:pP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EB685">
            <w:pPr>
              <w:jc w:val="center"/>
              <w:rPr>
                <w:rFonts w:hint="eastAsia" w:ascii="宋体" w:hAnsi="宋体" w:eastAsia="宋体" w:cs="宋体"/>
                <w:i w:val="0"/>
                <w:iCs w:val="0"/>
                <w:color w:val="000000"/>
                <w:sz w:val="20"/>
                <w:szCs w:val="20"/>
                <w:highlight w:val="none"/>
                <w:u w:val="none"/>
              </w:rPr>
            </w:pPr>
          </w:p>
        </w:tc>
        <w:tc>
          <w:tcPr>
            <w:tcW w:w="15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D6632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危桥改造座数（座）</w:t>
            </w: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285D8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&gt;=24座</w:t>
            </w:r>
          </w:p>
        </w:tc>
        <w:tc>
          <w:tcPr>
            <w:tcW w:w="23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6C3A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年度工作报告</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6BF9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BDB6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39座</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5E3E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r>
    </w:tbl>
    <w:p w14:paraId="721970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方正仿宋_GBK" w:cs="Times New Roman"/>
          <w:sz w:val="28"/>
          <w:szCs w:val="28"/>
          <w:highlight w:val="none"/>
          <w:lang w:eastAsia="zh-CN"/>
        </w:rPr>
      </w:pPr>
    </w:p>
    <w:p w14:paraId="131048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方正仿宋_GBK" w:cs="Times New Roman"/>
          <w:sz w:val="28"/>
          <w:szCs w:val="28"/>
          <w:highlight w:val="none"/>
        </w:rPr>
      </w:pPr>
    </w:p>
    <w:p w14:paraId="2EA5E9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方正仿宋_GBK" w:cs="Times New Roman"/>
          <w:sz w:val="28"/>
          <w:szCs w:val="28"/>
          <w:highlight w:val="none"/>
          <w:lang w:val="en"/>
        </w:rPr>
      </w:pPr>
    </w:p>
    <w:sectPr>
      <w:headerReference r:id="rId3" w:type="default"/>
      <w:footerReference r:id="rId4" w:type="default"/>
      <w:pgSz w:w="11906" w:h="16838"/>
      <w:pgMar w:top="2098" w:right="1531" w:bottom="1984" w:left="1531"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微软雅黑">
    <w:altName w:val="方正黑体_GBK"/>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BA3AE">
    <w:pPr>
      <w:pStyle w:val="7"/>
      <w:jc w:val="right"/>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F8E014">
                          <w:pPr>
                            <w:pStyle w:val="7"/>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9F8E014">
                    <w:pPr>
                      <w:pStyle w:val="7"/>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20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189D869"/>
                      </w:txbxContent>
                    </wps:txbx>
                    <wps:bodyPr wrap="none" lIns="0" tIns="0" rIns="0" bIns="0" upright="1">
                      <a:spAutoFit/>
                    </wps:bodyPr>
                  </wps:wsp>
                </a:graphicData>
              </a:graphic>
            </wp:anchor>
          </w:drawing>
        </mc:Choice>
        <mc:Fallback>
          <w:pict>
            <v:shape id="文本框 2050"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GMBr88BAACqAwAADgAAAGRycy9lMm9Eb2MueG1srVNLbtswEN0X6B0I&#10;7mvJBlIYguUghZEiQNAWSHsAmiItAvyBQ1vyBdobdNVN9z2Xz9EhJdn5bLLIhpof38x7HK2ue6PJ&#10;QQRQztZ0PispEZa7RtldTX98v/2wpAQisw3TzoqaHgXQ6/X7d6vOV2LhWqcbEQiCWKg6X9M2Rl8V&#10;BfBWGAYz54XFpHTBsIhu2BVNYB2iG10syvJj0bnQ+OC4AMDoZkjSETG8BtBJqbjYOL43wsYBNQjN&#10;IlKCVnmg6zytlILHr1KCiETXFJnGfGITtLfpLNYrVu0C863i4wjsNSM842SYstj0DLVhkZF9UC+g&#10;jOLBgZNxxp0pBiJZEWQxL59p89AyLzIXlBr8WXR4O1j+5fAtENXU9IoSyww++On3r9Off6e/P8mi&#10;vMoKdR4qLHzwWBr7T67HvUnKpThgMBHvZTDpi5QI5lHf41lf0UfC06XlYrksMcUxNzmIU1yu+wDx&#10;s3CGJKOmAR8w68oO9xCH0qkkdbPuVmmdH1HbJwHEHCIib8F4+zJxsmK/7UcaW9cckV2Hm1BTi4tP&#10;ib6zKHRamskIk7GdjL0PatfioPM8JfibfcSR8qSpwwCLDJODT5i5juuWduSxn6suv9j6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D0YwGvzwEAAKoDAAAOAAAAAAAAAAEAIAAAAB4BAABkcnMv&#10;ZTJvRG9jLnhtbFBLBQYAAAAABgAGAFkBAABfBQAAAAA=&#10;">
              <v:fill on="f" focussize="0,0"/>
              <v:stroke on="f"/>
              <v:imagedata o:title=""/>
              <o:lock v:ext="edit" aspectratio="f"/>
              <v:textbox inset="0mm,0mm,0mm,0mm" style="mso-fit-shape-to-text:t;">
                <w:txbxContent>
                  <w:p w14:paraId="5189D869"/>
                </w:txbxContent>
              </v:textbox>
            </v:shape>
          </w:pict>
        </mc:Fallback>
      </mc:AlternateContent>
    </w:r>
  </w:p>
  <w:p w14:paraId="1DD0454E">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1DD07">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88EB5C"/>
    <w:multiLevelType w:val="singleLevel"/>
    <w:tmpl w:val="9A88EB5C"/>
    <w:lvl w:ilvl="0" w:tentative="0">
      <w:start w:val="3"/>
      <w:numFmt w:val="chineseCounting"/>
      <w:suff w:val="nothing"/>
      <w:lvlText w:val="%1、"/>
      <w:lvlJc w:val="left"/>
      <w:rPr>
        <w:rFonts w:hint="eastAsia"/>
      </w:rPr>
    </w:lvl>
  </w:abstractNum>
  <w:abstractNum w:abstractNumId="1">
    <w:nsid w:val="AE3822F5"/>
    <w:multiLevelType w:val="singleLevel"/>
    <w:tmpl w:val="AE3822F5"/>
    <w:lvl w:ilvl="0" w:tentative="0">
      <w:start w:val="1"/>
      <w:numFmt w:val="decimal"/>
      <w:suff w:val="nothing"/>
      <w:lvlText w:val="（%1）"/>
      <w:lvlJc w:val="left"/>
    </w:lvl>
  </w:abstractNum>
  <w:abstractNum w:abstractNumId="2">
    <w:nsid w:val="DD9E36E6"/>
    <w:multiLevelType w:val="singleLevel"/>
    <w:tmpl w:val="DD9E36E6"/>
    <w:lvl w:ilvl="0" w:tentative="0">
      <w:start w:val="2"/>
      <w:numFmt w:val="decimal"/>
      <w:suff w:val="nothing"/>
      <w:lvlText w:val="（%1）"/>
      <w:lvlJc w:val="left"/>
    </w:lvl>
  </w:abstractNum>
  <w:abstractNum w:abstractNumId="3">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yZDhmNzQwYzY5NzA1Yjc5MzYxNDhlZWJhOGZkYjIifQ=="/>
  </w:docVars>
  <w:rsids>
    <w:rsidRoot w:val="00F47264"/>
    <w:rsid w:val="00010548"/>
    <w:rsid w:val="000B2EEB"/>
    <w:rsid w:val="001A098F"/>
    <w:rsid w:val="001A7ACF"/>
    <w:rsid w:val="003606DA"/>
    <w:rsid w:val="003619E5"/>
    <w:rsid w:val="00396C3F"/>
    <w:rsid w:val="004C5DC7"/>
    <w:rsid w:val="004F6678"/>
    <w:rsid w:val="00580CDA"/>
    <w:rsid w:val="006D27B6"/>
    <w:rsid w:val="007527D2"/>
    <w:rsid w:val="00781F89"/>
    <w:rsid w:val="00784C86"/>
    <w:rsid w:val="007E3B2E"/>
    <w:rsid w:val="007F7CB4"/>
    <w:rsid w:val="00820C06"/>
    <w:rsid w:val="00850891"/>
    <w:rsid w:val="00A14BA3"/>
    <w:rsid w:val="00AF7613"/>
    <w:rsid w:val="00BD2CB2"/>
    <w:rsid w:val="00C81216"/>
    <w:rsid w:val="00D9562E"/>
    <w:rsid w:val="00DF2E61"/>
    <w:rsid w:val="00E176E6"/>
    <w:rsid w:val="00EA3E4F"/>
    <w:rsid w:val="00ED7B3F"/>
    <w:rsid w:val="00F47264"/>
    <w:rsid w:val="00F5137E"/>
    <w:rsid w:val="00F75A16"/>
    <w:rsid w:val="036F3167"/>
    <w:rsid w:val="04D87E4F"/>
    <w:rsid w:val="05B27555"/>
    <w:rsid w:val="061D4475"/>
    <w:rsid w:val="065A7C8D"/>
    <w:rsid w:val="06B3439A"/>
    <w:rsid w:val="06CC3078"/>
    <w:rsid w:val="07746E01"/>
    <w:rsid w:val="081B6907"/>
    <w:rsid w:val="092965A6"/>
    <w:rsid w:val="09E63D9C"/>
    <w:rsid w:val="0AA95401"/>
    <w:rsid w:val="0AB56CC6"/>
    <w:rsid w:val="0AF43052"/>
    <w:rsid w:val="0AFD4160"/>
    <w:rsid w:val="0BED48AE"/>
    <w:rsid w:val="0D024DAF"/>
    <w:rsid w:val="0D7A209A"/>
    <w:rsid w:val="0F9F2542"/>
    <w:rsid w:val="0FA136DC"/>
    <w:rsid w:val="105C74A1"/>
    <w:rsid w:val="10E36DA6"/>
    <w:rsid w:val="111F697A"/>
    <w:rsid w:val="1185412F"/>
    <w:rsid w:val="13893C35"/>
    <w:rsid w:val="14887886"/>
    <w:rsid w:val="148D1784"/>
    <w:rsid w:val="161635E4"/>
    <w:rsid w:val="162203CA"/>
    <w:rsid w:val="16CF6EBE"/>
    <w:rsid w:val="17131B14"/>
    <w:rsid w:val="187A7260"/>
    <w:rsid w:val="19015AB3"/>
    <w:rsid w:val="19F0007C"/>
    <w:rsid w:val="1AA4207A"/>
    <w:rsid w:val="1AFFFFD3"/>
    <w:rsid w:val="1BAF0CE7"/>
    <w:rsid w:val="1BBFED2B"/>
    <w:rsid w:val="1C5F4D1A"/>
    <w:rsid w:val="1D4B2EEF"/>
    <w:rsid w:val="1DB17AF7"/>
    <w:rsid w:val="1E7F31C5"/>
    <w:rsid w:val="1EAF00A0"/>
    <w:rsid w:val="1F6E4ED1"/>
    <w:rsid w:val="1F7FA44C"/>
    <w:rsid w:val="200D355F"/>
    <w:rsid w:val="20353F5A"/>
    <w:rsid w:val="20786504"/>
    <w:rsid w:val="20822F2E"/>
    <w:rsid w:val="214C6DE9"/>
    <w:rsid w:val="217B3DD6"/>
    <w:rsid w:val="21BC28F8"/>
    <w:rsid w:val="21F73502"/>
    <w:rsid w:val="220B3A62"/>
    <w:rsid w:val="22546448"/>
    <w:rsid w:val="233D13C4"/>
    <w:rsid w:val="23C70396"/>
    <w:rsid w:val="24396B76"/>
    <w:rsid w:val="24F353B2"/>
    <w:rsid w:val="2508266B"/>
    <w:rsid w:val="26020D88"/>
    <w:rsid w:val="266F7C63"/>
    <w:rsid w:val="272F25D2"/>
    <w:rsid w:val="27CD2D8C"/>
    <w:rsid w:val="283B59D7"/>
    <w:rsid w:val="285E3F0D"/>
    <w:rsid w:val="28862154"/>
    <w:rsid w:val="292FEEE9"/>
    <w:rsid w:val="2A2C4645"/>
    <w:rsid w:val="2B597C86"/>
    <w:rsid w:val="2BCFB921"/>
    <w:rsid w:val="2C9020F1"/>
    <w:rsid w:val="2DFC61C5"/>
    <w:rsid w:val="2E4647A4"/>
    <w:rsid w:val="2FEC0A01"/>
    <w:rsid w:val="2FF55751"/>
    <w:rsid w:val="2FFF37C1"/>
    <w:rsid w:val="30830EB2"/>
    <w:rsid w:val="308347D1"/>
    <w:rsid w:val="32D104D9"/>
    <w:rsid w:val="333F5C66"/>
    <w:rsid w:val="34736970"/>
    <w:rsid w:val="352FD503"/>
    <w:rsid w:val="355E22FC"/>
    <w:rsid w:val="357E2895"/>
    <w:rsid w:val="35D76283"/>
    <w:rsid w:val="35EDA4EC"/>
    <w:rsid w:val="35FFA78D"/>
    <w:rsid w:val="37C62670"/>
    <w:rsid w:val="37F41611"/>
    <w:rsid w:val="392C2005"/>
    <w:rsid w:val="39472E78"/>
    <w:rsid w:val="399F7B52"/>
    <w:rsid w:val="399FAF4D"/>
    <w:rsid w:val="39B757B1"/>
    <w:rsid w:val="3A9806FE"/>
    <w:rsid w:val="3AE4AA97"/>
    <w:rsid w:val="3B007A89"/>
    <w:rsid w:val="3B0535F9"/>
    <w:rsid w:val="3B642295"/>
    <w:rsid w:val="3B7FE598"/>
    <w:rsid w:val="3B842468"/>
    <w:rsid w:val="3BAC7A4B"/>
    <w:rsid w:val="3BE45EA7"/>
    <w:rsid w:val="3CAFCDA7"/>
    <w:rsid w:val="3CE27ABB"/>
    <w:rsid w:val="3CF5794C"/>
    <w:rsid w:val="3D7C2066"/>
    <w:rsid w:val="3DFB35D7"/>
    <w:rsid w:val="3E7B6F01"/>
    <w:rsid w:val="3E830CCF"/>
    <w:rsid w:val="3F2624A0"/>
    <w:rsid w:val="3F337D0D"/>
    <w:rsid w:val="3F7D2703"/>
    <w:rsid w:val="3F7E3459"/>
    <w:rsid w:val="3FCC4F07"/>
    <w:rsid w:val="3FEE8C5D"/>
    <w:rsid w:val="3FF72F06"/>
    <w:rsid w:val="43453150"/>
    <w:rsid w:val="4415704C"/>
    <w:rsid w:val="442F59CB"/>
    <w:rsid w:val="447C3B2B"/>
    <w:rsid w:val="45FD2714"/>
    <w:rsid w:val="473B6CC7"/>
    <w:rsid w:val="476713F5"/>
    <w:rsid w:val="47EDCE65"/>
    <w:rsid w:val="49C40E9A"/>
    <w:rsid w:val="4A101DBB"/>
    <w:rsid w:val="4AB50F42"/>
    <w:rsid w:val="4C1A00B9"/>
    <w:rsid w:val="4C3954F1"/>
    <w:rsid w:val="4C9FDD60"/>
    <w:rsid w:val="4D381E58"/>
    <w:rsid w:val="4D5F7C5F"/>
    <w:rsid w:val="4E7B442C"/>
    <w:rsid w:val="4E7D3191"/>
    <w:rsid w:val="4E9E4805"/>
    <w:rsid w:val="4EFFE02F"/>
    <w:rsid w:val="4F363AA9"/>
    <w:rsid w:val="4F69288E"/>
    <w:rsid w:val="4F756FAC"/>
    <w:rsid w:val="4FF94A0A"/>
    <w:rsid w:val="50D03F58"/>
    <w:rsid w:val="537F1F62"/>
    <w:rsid w:val="538931CB"/>
    <w:rsid w:val="53FE1053"/>
    <w:rsid w:val="53FF0B08"/>
    <w:rsid w:val="554212F7"/>
    <w:rsid w:val="5595558A"/>
    <w:rsid w:val="55A41C2D"/>
    <w:rsid w:val="562D42D4"/>
    <w:rsid w:val="56BB2307"/>
    <w:rsid w:val="57C86F12"/>
    <w:rsid w:val="57D6B4AB"/>
    <w:rsid w:val="57E5652D"/>
    <w:rsid w:val="58B76E52"/>
    <w:rsid w:val="597830BF"/>
    <w:rsid w:val="5A5B2BBE"/>
    <w:rsid w:val="5AFFAD99"/>
    <w:rsid w:val="5B294CF5"/>
    <w:rsid w:val="5B5E5CB1"/>
    <w:rsid w:val="5BAB79A2"/>
    <w:rsid w:val="5BED1E39"/>
    <w:rsid w:val="5CA72D2B"/>
    <w:rsid w:val="5CB86DFB"/>
    <w:rsid w:val="5CE90D33"/>
    <w:rsid w:val="5DE3E6F6"/>
    <w:rsid w:val="5E3B1969"/>
    <w:rsid w:val="5E7F8ED4"/>
    <w:rsid w:val="5E8FAC57"/>
    <w:rsid w:val="5EFFF812"/>
    <w:rsid w:val="5F1B1701"/>
    <w:rsid w:val="5F2D3639"/>
    <w:rsid w:val="5F3F2BE8"/>
    <w:rsid w:val="5F7B5D05"/>
    <w:rsid w:val="5FB81591"/>
    <w:rsid w:val="5FBFCDA4"/>
    <w:rsid w:val="5FECF2C6"/>
    <w:rsid w:val="5FF50167"/>
    <w:rsid w:val="5FF7D149"/>
    <w:rsid w:val="5FFBF2BD"/>
    <w:rsid w:val="5FFD7D0A"/>
    <w:rsid w:val="606649FD"/>
    <w:rsid w:val="62512635"/>
    <w:rsid w:val="62CF5BD3"/>
    <w:rsid w:val="62EF5AE0"/>
    <w:rsid w:val="631B2580"/>
    <w:rsid w:val="6402448A"/>
    <w:rsid w:val="6423081A"/>
    <w:rsid w:val="64405216"/>
    <w:rsid w:val="652C58F1"/>
    <w:rsid w:val="65F408F4"/>
    <w:rsid w:val="65FFD177"/>
    <w:rsid w:val="66BECAE4"/>
    <w:rsid w:val="67685AA7"/>
    <w:rsid w:val="67691864"/>
    <w:rsid w:val="676FC66B"/>
    <w:rsid w:val="67A27F96"/>
    <w:rsid w:val="69561038"/>
    <w:rsid w:val="69842597"/>
    <w:rsid w:val="69B44AA7"/>
    <w:rsid w:val="69FDFE4A"/>
    <w:rsid w:val="6A134CD7"/>
    <w:rsid w:val="6AC89840"/>
    <w:rsid w:val="6BEEFD12"/>
    <w:rsid w:val="6BFB166B"/>
    <w:rsid w:val="6C2F0A12"/>
    <w:rsid w:val="6F97E074"/>
    <w:rsid w:val="6FE084F5"/>
    <w:rsid w:val="6FEF2BE5"/>
    <w:rsid w:val="6FF83910"/>
    <w:rsid w:val="6FFF35E8"/>
    <w:rsid w:val="6FFFA99F"/>
    <w:rsid w:val="6FFFC7BA"/>
    <w:rsid w:val="70233167"/>
    <w:rsid w:val="70FA7F10"/>
    <w:rsid w:val="71BB82F0"/>
    <w:rsid w:val="71EF3A46"/>
    <w:rsid w:val="722720FC"/>
    <w:rsid w:val="72BBDEE9"/>
    <w:rsid w:val="72FC0C06"/>
    <w:rsid w:val="73EFE611"/>
    <w:rsid w:val="73F72E4A"/>
    <w:rsid w:val="75F33865"/>
    <w:rsid w:val="75F50B73"/>
    <w:rsid w:val="76442B95"/>
    <w:rsid w:val="766B73D5"/>
    <w:rsid w:val="766E2315"/>
    <w:rsid w:val="76A30E58"/>
    <w:rsid w:val="76BD210F"/>
    <w:rsid w:val="76BF646F"/>
    <w:rsid w:val="76FEC302"/>
    <w:rsid w:val="771937E0"/>
    <w:rsid w:val="77515C80"/>
    <w:rsid w:val="7757687D"/>
    <w:rsid w:val="777D5280"/>
    <w:rsid w:val="777F8B5E"/>
    <w:rsid w:val="77897867"/>
    <w:rsid w:val="77961412"/>
    <w:rsid w:val="77DF900F"/>
    <w:rsid w:val="77ED5D3E"/>
    <w:rsid w:val="77FBD67D"/>
    <w:rsid w:val="77FF1F3F"/>
    <w:rsid w:val="77FFCD24"/>
    <w:rsid w:val="787A5BE8"/>
    <w:rsid w:val="787E697A"/>
    <w:rsid w:val="792938E2"/>
    <w:rsid w:val="79304F8E"/>
    <w:rsid w:val="7A3C5374"/>
    <w:rsid w:val="7A7D1291"/>
    <w:rsid w:val="7AA51EEF"/>
    <w:rsid w:val="7AFF5270"/>
    <w:rsid w:val="7B754867"/>
    <w:rsid w:val="7B9F42DB"/>
    <w:rsid w:val="7BB31622"/>
    <w:rsid w:val="7BBFB4B5"/>
    <w:rsid w:val="7BEF1727"/>
    <w:rsid w:val="7BFF6DC9"/>
    <w:rsid w:val="7C185F74"/>
    <w:rsid w:val="7C2E1C00"/>
    <w:rsid w:val="7CF55BA4"/>
    <w:rsid w:val="7D176284"/>
    <w:rsid w:val="7D25065C"/>
    <w:rsid w:val="7D3B46FD"/>
    <w:rsid w:val="7D4958D1"/>
    <w:rsid w:val="7D6752ED"/>
    <w:rsid w:val="7D6EB7B8"/>
    <w:rsid w:val="7D6F6F14"/>
    <w:rsid w:val="7D7BC3C4"/>
    <w:rsid w:val="7D9EE288"/>
    <w:rsid w:val="7DEB33A9"/>
    <w:rsid w:val="7DFECD0C"/>
    <w:rsid w:val="7E1676B9"/>
    <w:rsid w:val="7E48199F"/>
    <w:rsid w:val="7E8138B8"/>
    <w:rsid w:val="7EFC6BF8"/>
    <w:rsid w:val="7F1C3D32"/>
    <w:rsid w:val="7F368023"/>
    <w:rsid w:val="7F3DED7E"/>
    <w:rsid w:val="7F664792"/>
    <w:rsid w:val="7F6F9AB0"/>
    <w:rsid w:val="7F754837"/>
    <w:rsid w:val="7F7F8EC3"/>
    <w:rsid w:val="7FAF068D"/>
    <w:rsid w:val="7FBE137E"/>
    <w:rsid w:val="7FC744EB"/>
    <w:rsid w:val="7FD7FC2B"/>
    <w:rsid w:val="7FDF87E4"/>
    <w:rsid w:val="7FEB79ED"/>
    <w:rsid w:val="7FEC71AC"/>
    <w:rsid w:val="7FF1F5DB"/>
    <w:rsid w:val="7FF62C0B"/>
    <w:rsid w:val="7FFA24FD"/>
    <w:rsid w:val="7FFA50F1"/>
    <w:rsid w:val="7FFBC758"/>
    <w:rsid w:val="7FFF261B"/>
    <w:rsid w:val="7FFFC8DB"/>
    <w:rsid w:val="8EF3FE1B"/>
    <w:rsid w:val="91EB3BA5"/>
    <w:rsid w:val="97278F46"/>
    <w:rsid w:val="99FEAD96"/>
    <w:rsid w:val="9BA5C75B"/>
    <w:rsid w:val="9BFF63CB"/>
    <w:rsid w:val="9DB273AC"/>
    <w:rsid w:val="9FFFD987"/>
    <w:rsid w:val="A7F52451"/>
    <w:rsid w:val="A9F42DC0"/>
    <w:rsid w:val="AA7E2E9A"/>
    <w:rsid w:val="AE961775"/>
    <w:rsid w:val="AFBD64E5"/>
    <w:rsid w:val="AFE5704B"/>
    <w:rsid w:val="B2FC8E1C"/>
    <w:rsid w:val="B7F72EF9"/>
    <w:rsid w:val="BACD0DBA"/>
    <w:rsid w:val="BAD7C8D6"/>
    <w:rsid w:val="BAF36437"/>
    <w:rsid w:val="BB078BEA"/>
    <w:rsid w:val="BBBFB14D"/>
    <w:rsid w:val="BBDE3C23"/>
    <w:rsid w:val="BCFB5894"/>
    <w:rsid w:val="BD336E0A"/>
    <w:rsid w:val="BDBF148E"/>
    <w:rsid w:val="BE771A07"/>
    <w:rsid w:val="BFAE026D"/>
    <w:rsid w:val="BFBF8588"/>
    <w:rsid w:val="BFEC2508"/>
    <w:rsid w:val="BFFD9895"/>
    <w:rsid w:val="BFFF6381"/>
    <w:rsid w:val="C203C5C2"/>
    <w:rsid w:val="C676AAE2"/>
    <w:rsid w:val="C7FA34C2"/>
    <w:rsid w:val="CB4FF22B"/>
    <w:rsid w:val="CBFF7423"/>
    <w:rsid w:val="CE3A1706"/>
    <w:rsid w:val="CE96487E"/>
    <w:rsid w:val="CF3BA010"/>
    <w:rsid w:val="CF851D80"/>
    <w:rsid w:val="D2FB977F"/>
    <w:rsid w:val="D6EB5D68"/>
    <w:rsid w:val="D6FDC584"/>
    <w:rsid w:val="D77C57DD"/>
    <w:rsid w:val="DADB1A39"/>
    <w:rsid w:val="DB376695"/>
    <w:rsid w:val="DBA7BF2A"/>
    <w:rsid w:val="DBAC073A"/>
    <w:rsid w:val="DCD7CD5A"/>
    <w:rsid w:val="DCEF4B5B"/>
    <w:rsid w:val="DD98B29B"/>
    <w:rsid w:val="DDF5EEE9"/>
    <w:rsid w:val="DEEF4BA9"/>
    <w:rsid w:val="DEF38B44"/>
    <w:rsid w:val="DEFB9266"/>
    <w:rsid w:val="DEFFF64C"/>
    <w:rsid w:val="DF23D702"/>
    <w:rsid w:val="DF7F4C62"/>
    <w:rsid w:val="DF97B64F"/>
    <w:rsid w:val="DFBBAEA6"/>
    <w:rsid w:val="DFDD9DAE"/>
    <w:rsid w:val="DFE9C5EF"/>
    <w:rsid w:val="E3679BF9"/>
    <w:rsid w:val="E5DDECCC"/>
    <w:rsid w:val="E7D16886"/>
    <w:rsid w:val="E97F75C4"/>
    <w:rsid w:val="ECFE2224"/>
    <w:rsid w:val="EDDFFB83"/>
    <w:rsid w:val="EE5CBD73"/>
    <w:rsid w:val="EF2F4080"/>
    <w:rsid w:val="EFA91268"/>
    <w:rsid w:val="EFBF0EE4"/>
    <w:rsid w:val="EFBFE66A"/>
    <w:rsid w:val="EFDD9E39"/>
    <w:rsid w:val="EFEE744F"/>
    <w:rsid w:val="EFFA44CF"/>
    <w:rsid w:val="EFFD595D"/>
    <w:rsid w:val="EFFE756F"/>
    <w:rsid w:val="EFFFD8D5"/>
    <w:rsid w:val="EFFFE19C"/>
    <w:rsid w:val="F13FD9E1"/>
    <w:rsid w:val="F1765C74"/>
    <w:rsid w:val="F2BF9CFF"/>
    <w:rsid w:val="F33FD89B"/>
    <w:rsid w:val="F36B8F42"/>
    <w:rsid w:val="F3DB7DD4"/>
    <w:rsid w:val="F3FE80CD"/>
    <w:rsid w:val="F5F6069A"/>
    <w:rsid w:val="F5FF2C96"/>
    <w:rsid w:val="F65E7048"/>
    <w:rsid w:val="F6F8EAD0"/>
    <w:rsid w:val="F6FF8450"/>
    <w:rsid w:val="F7B6FCC0"/>
    <w:rsid w:val="F7B7308F"/>
    <w:rsid w:val="F7B7A156"/>
    <w:rsid w:val="F7FC58A1"/>
    <w:rsid w:val="F7FF05EC"/>
    <w:rsid w:val="F8E946EB"/>
    <w:rsid w:val="F92F8878"/>
    <w:rsid w:val="F9BB0E45"/>
    <w:rsid w:val="F9EFA401"/>
    <w:rsid w:val="FABE7FF7"/>
    <w:rsid w:val="FAF3C5FA"/>
    <w:rsid w:val="FB9F91AE"/>
    <w:rsid w:val="FBCFB1B1"/>
    <w:rsid w:val="FBD5A99E"/>
    <w:rsid w:val="FBF8B26C"/>
    <w:rsid w:val="FBFF89EC"/>
    <w:rsid w:val="FBFF8E2B"/>
    <w:rsid w:val="FC7DC50A"/>
    <w:rsid w:val="FCBF2C5E"/>
    <w:rsid w:val="FCBFFD7A"/>
    <w:rsid w:val="FD268D72"/>
    <w:rsid w:val="FD6C0F09"/>
    <w:rsid w:val="FD9BD194"/>
    <w:rsid w:val="FDB72695"/>
    <w:rsid w:val="FDEF4209"/>
    <w:rsid w:val="FE5F8B32"/>
    <w:rsid w:val="FE9ACC45"/>
    <w:rsid w:val="FEE34736"/>
    <w:rsid w:val="FEFF2FBF"/>
    <w:rsid w:val="FEFF424B"/>
    <w:rsid w:val="FF11B9DD"/>
    <w:rsid w:val="FF34F08E"/>
    <w:rsid w:val="FF5BCB1F"/>
    <w:rsid w:val="FF7D3417"/>
    <w:rsid w:val="FF7EAE97"/>
    <w:rsid w:val="FFA63644"/>
    <w:rsid w:val="FFDDEF1D"/>
    <w:rsid w:val="FFEE1E87"/>
    <w:rsid w:val="FFEF3260"/>
    <w:rsid w:val="FFF6FDCE"/>
    <w:rsid w:val="FFFB71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widowControl w:val="0"/>
      <w:adjustRightInd/>
      <w:snapToGrid/>
      <w:ind w:firstLine="420" w:firstLineChars="200"/>
      <w:jc w:val="both"/>
    </w:pPr>
    <w:rPr>
      <w:rFonts w:ascii="仿宋_GB2312" w:hAnsi="Calibri" w:eastAsia="仿宋_GB2312"/>
      <w:color w:val="000000"/>
      <w:sz w:val="32"/>
      <w:u w:val="none" w:color="000000"/>
    </w:rPr>
  </w:style>
  <w:style w:type="paragraph" w:styleId="3">
    <w:name w:val="Body Text Indent"/>
    <w:basedOn w:val="1"/>
    <w:qFormat/>
    <w:uiPriority w:val="0"/>
    <w:pPr>
      <w:spacing w:after="120"/>
      <w:ind w:left="420" w:leftChars="200"/>
    </w:pPr>
  </w:style>
  <w:style w:type="paragraph" w:styleId="4">
    <w:name w:val="annotation text"/>
    <w:basedOn w:val="1"/>
    <w:link w:val="15"/>
    <w:unhideWhenUsed/>
    <w:qFormat/>
    <w:uiPriority w:val="99"/>
    <w:pPr>
      <w:jc w:val="left"/>
    </w:pPr>
  </w:style>
  <w:style w:type="paragraph" w:styleId="5">
    <w:name w:val="Plain Text"/>
    <w:basedOn w:val="1"/>
    <w:qFormat/>
    <w:uiPriority w:val="0"/>
    <w:rPr>
      <w:rFonts w:ascii="宋体" w:hAnsi="Courier New" w:eastAsia="宋体" w:cs="Courier New"/>
      <w:szCs w:val="21"/>
    </w:rPr>
  </w:style>
  <w:style w:type="paragraph" w:styleId="6">
    <w:name w:val="Balloon Text"/>
    <w:basedOn w:val="1"/>
    <w:link w:val="16"/>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pPr>
      <w:spacing w:beforeAutospacing="1" w:afterAutospacing="1"/>
      <w:jc w:val="left"/>
    </w:pPr>
    <w:rPr>
      <w:kern w:val="0"/>
      <w:sz w:val="24"/>
    </w:rPr>
  </w:style>
  <w:style w:type="paragraph" w:styleId="10">
    <w:name w:val="annotation subject"/>
    <w:basedOn w:val="4"/>
    <w:next w:val="4"/>
    <w:link w:val="19"/>
    <w:unhideWhenUsed/>
    <w:qFormat/>
    <w:uiPriority w:val="99"/>
    <w:rPr>
      <w:b/>
      <w:bCs/>
    </w:rPr>
  </w:style>
  <w:style w:type="character" w:styleId="13">
    <w:name w:val="Strong"/>
    <w:basedOn w:val="12"/>
    <w:qFormat/>
    <w:uiPriority w:val="0"/>
    <w:rPr>
      <w:b/>
      <w:lang w:eastAsia="en-US"/>
    </w:rPr>
  </w:style>
  <w:style w:type="character" w:styleId="14">
    <w:name w:val="annotation reference"/>
    <w:basedOn w:val="12"/>
    <w:unhideWhenUsed/>
    <w:qFormat/>
    <w:uiPriority w:val="99"/>
    <w:rPr>
      <w:sz w:val="21"/>
      <w:szCs w:val="21"/>
    </w:rPr>
  </w:style>
  <w:style w:type="character" w:customStyle="1" w:styleId="15">
    <w:name w:val="批注文字 字符"/>
    <w:basedOn w:val="12"/>
    <w:link w:val="4"/>
    <w:semiHidden/>
    <w:qFormat/>
    <w:uiPriority w:val="99"/>
  </w:style>
  <w:style w:type="character" w:customStyle="1" w:styleId="16">
    <w:name w:val="批注框文本 字符"/>
    <w:basedOn w:val="12"/>
    <w:link w:val="6"/>
    <w:semiHidden/>
    <w:qFormat/>
    <w:uiPriority w:val="99"/>
    <w:rPr>
      <w:sz w:val="18"/>
      <w:szCs w:val="18"/>
    </w:rPr>
  </w:style>
  <w:style w:type="character" w:customStyle="1" w:styleId="17">
    <w:name w:val="页脚 字符"/>
    <w:basedOn w:val="12"/>
    <w:link w:val="7"/>
    <w:qFormat/>
    <w:uiPriority w:val="99"/>
    <w:rPr>
      <w:sz w:val="18"/>
      <w:szCs w:val="18"/>
    </w:rPr>
  </w:style>
  <w:style w:type="character" w:customStyle="1" w:styleId="18">
    <w:name w:val="页眉 字符"/>
    <w:basedOn w:val="12"/>
    <w:link w:val="8"/>
    <w:semiHidden/>
    <w:qFormat/>
    <w:uiPriority w:val="99"/>
    <w:rPr>
      <w:sz w:val="18"/>
      <w:szCs w:val="18"/>
    </w:rPr>
  </w:style>
  <w:style w:type="character" w:customStyle="1" w:styleId="19">
    <w:name w:val="批注主题 字符"/>
    <w:basedOn w:val="15"/>
    <w:link w:val="10"/>
    <w:semiHidden/>
    <w:qFormat/>
    <w:uiPriority w:val="99"/>
    <w:rPr>
      <w:b/>
      <w:bCs/>
    </w:rPr>
  </w:style>
  <w:style w:type="paragraph" w:customStyle="1" w:styleId="20">
    <w:name w:val="修订1"/>
    <w:semiHidden/>
    <w:qFormat/>
    <w:uiPriority w:val="99"/>
    <w:rPr>
      <w:rFonts w:ascii="Calibri" w:hAnsi="Calibri" w:eastAsia="宋体" w:cs="Times New Roman"/>
      <w:kern w:val="2"/>
      <w:sz w:val="21"/>
      <w:szCs w:val="22"/>
      <w:lang w:val="en-US" w:eastAsia="zh-CN" w:bidi="ar-SA"/>
    </w:rPr>
  </w:style>
  <w:style w:type="paragraph" w:customStyle="1" w:styleId="21">
    <w:name w:val="List Paragraph"/>
    <w:basedOn w:val="1"/>
    <w:qFormat/>
    <w:uiPriority w:val="0"/>
    <w:pPr>
      <w:ind w:firstLine="420" w:firstLineChars="200"/>
    </w:pPr>
  </w:style>
  <w:style w:type="paragraph" w:customStyle="1" w:styleId="22">
    <w:name w:val="正文A"/>
    <w:basedOn w:val="1"/>
    <w:qFormat/>
    <w:uiPriority w:val="4"/>
    <w:pPr>
      <w:widowControl/>
      <w:spacing w:line="580" w:lineRule="exact"/>
      <w:ind w:firstLine="640"/>
      <w:jc w:val="left"/>
    </w:pPr>
    <w:rPr>
      <w:rFonts w:ascii="仿宋_GB2312" w:hAnsi="仿宋_GB2312" w:eastAsia="仿宋_GB2312" w:cs="宋体"/>
      <w:color w:val="000000"/>
      <w:kern w:val="0"/>
      <w:sz w:val="32"/>
      <w:szCs w:val="32"/>
    </w:rPr>
  </w:style>
  <w:style w:type="paragraph" w:customStyle="1" w:styleId="23">
    <w:name w:val="Default"/>
    <w:qFormat/>
    <w:uiPriority w:val="0"/>
    <w:pPr>
      <w:widowControl w:val="0"/>
      <w:autoSpaceDE w:val="0"/>
      <w:autoSpaceDN w:val="0"/>
      <w:adjustRightInd w:val="0"/>
    </w:pPr>
    <w:rPr>
      <w:rFonts w:hint="eastAsia" w:ascii="华文中宋" w:hAnsi="华文中宋" w:eastAsia="华文中宋" w:cs="Times New Roman"/>
      <w:color w:val="000000"/>
      <w:sz w:val="24"/>
      <w:szCs w:val="22"/>
      <w:lang w:val="en-US" w:eastAsia="zh-CN" w:bidi="ar-SA"/>
    </w:rPr>
  </w:style>
  <w:style w:type="character" w:customStyle="1" w:styleId="24">
    <w:name w:val="font21"/>
    <w:basedOn w:val="12"/>
    <w:qFormat/>
    <w:uiPriority w:val="0"/>
    <w:rPr>
      <w:rFonts w:hint="eastAsia" w:ascii="宋体" w:hAnsi="宋体" w:eastAsia="宋体" w:cs="宋体"/>
      <w:color w:val="000000"/>
      <w:sz w:val="20"/>
      <w:szCs w:val="20"/>
      <w:u w:val="none"/>
    </w:rPr>
  </w:style>
  <w:style w:type="character" w:customStyle="1" w:styleId="25">
    <w:name w:val="font31"/>
    <w:basedOn w:val="12"/>
    <w:qFormat/>
    <w:uiPriority w:val="0"/>
    <w:rPr>
      <w:rFonts w:hint="default" w:ascii="Times New Roman" w:hAnsi="Times New Roman" w:cs="Times New Roman"/>
      <w:color w:val="000000"/>
      <w:sz w:val="20"/>
      <w:szCs w:val="20"/>
      <w:u w:val="none"/>
    </w:rPr>
  </w:style>
  <w:style w:type="character" w:customStyle="1" w:styleId="26">
    <w:name w:val="font71"/>
    <w:basedOn w:val="12"/>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34</Pages>
  <Words>650</Words>
  <Characters>686</Characters>
  <Lines>7</Lines>
  <Paragraphs>1</Paragraphs>
  <TotalTime>0</TotalTime>
  <ScaleCrop>false</ScaleCrop>
  <LinksUpToDate>false</LinksUpToDate>
  <CharactersWithSpaces>688</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2014-03-18T19:32:00Z</dcterms:created>
  <dc:creator>Administrator</dc:creator>
  <cp:lastModifiedBy>user</cp:lastModifiedBy>
  <cp:lastPrinted>2019-05-06T23:31:00Z</cp:lastPrinted>
  <dcterms:modified xsi:type="dcterms:W3CDTF">2026-09-07T17:09:06Z</dcterms:modified>
  <dc:title>新疆维吾尔自治区交通运输厅办公室</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B365EB6379B04FCABD68A5955C1B0F07_13</vt:lpwstr>
  </property>
  <property fmtid="{D5CDD505-2E9C-101B-9397-08002B2CF9AE}" pid="4" name="KSOTemplateDocerSaveRecord">
    <vt:lpwstr>eyJoZGlkIjoiNGRkZTQyMmFiNDRkMTdiMjNkYzg5NTYyYjlkOWQ3NWUiLCJ1c2VySWQiOiIxNDk2MTE1MzU3In0=</vt:lpwstr>
  </property>
</Properties>
</file>