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黑体_GBK" w:cs="Times New Roman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auto"/>
          <w:sz w:val="32"/>
          <w:szCs w:val="32"/>
          <w:lang w:val="en-US" w:eastAsia="zh-CN"/>
        </w:rPr>
        <w:t>附件1</w:t>
      </w:r>
    </w:p>
    <w:tbl>
      <w:tblPr>
        <w:tblStyle w:val="5"/>
        <w:tblpPr w:leftFromText="180" w:rightFromText="180" w:vertAnchor="text" w:horzAnchor="page" w:tblpX="1700" w:tblpY="661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9"/>
        <w:gridCol w:w="3294"/>
        <w:gridCol w:w="1963"/>
        <w:gridCol w:w="19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exact"/>
        </w:trPr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K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2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管辖机构名称</w:t>
            </w:r>
          </w:p>
        </w:tc>
        <w:tc>
          <w:tcPr>
            <w:tcW w:w="19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报警总处置率</w:t>
            </w:r>
            <w:r>
              <w:rPr>
                <w:rFonts w:hint="default" w:ascii="Times New Roman" w:hAnsi="Times New Roman" w:eastAsia="方正楷体_GBK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" w:eastAsia="zh-CN" w:bidi="ar"/>
              </w:rPr>
              <w:t>(要求&gt;90</w:t>
            </w:r>
            <w:r>
              <w:rPr>
                <w:rFonts w:hint="default" w:ascii="Times New Roman" w:hAnsi="Times New Roman" w:eastAsia="方正楷体_GBK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%）</w:t>
            </w:r>
          </w:p>
        </w:tc>
        <w:tc>
          <w:tcPr>
            <w:tcW w:w="19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K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</w:trPr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2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克州</w:t>
            </w:r>
          </w:p>
        </w:tc>
        <w:tc>
          <w:tcPr>
            <w:tcW w:w="1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9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97"/>
                <w:tab w:val="center" w:pos="108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</w:trPr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2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伊犁州</w:t>
            </w:r>
          </w:p>
        </w:tc>
        <w:tc>
          <w:tcPr>
            <w:tcW w:w="1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9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</w:trPr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2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巴州</w:t>
            </w:r>
          </w:p>
        </w:tc>
        <w:tc>
          <w:tcPr>
            <w:tcW w:w="1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9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</w:trPr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2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克拉玛依市</w:t>
            </w:r>
          </w:p>
        </w:tc>
        <w:tc>
          <w:tcPr>
            <w:tcW w:w="1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9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</w:trPr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2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阿勒泰地区</w:t>
            </w:r>
          </w:p>
        </w:tc>
        <w:tc>
          <w:tcPr>
            <w:tcW w:w="1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9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</w:trPr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2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阿克苏地区</w:t>
            </w:r>
          </w:p>
        </w:tc>
        <w:tc>
          <w:tcPr>
            <w:tcW w:w="1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9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</w:trPr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2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和田地区</w:t>
            </w:r>
          </w:p>
        </w:tc>
        <w:tc>
          <w:tcPr>
            <w:tcW w:w="1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9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</w:trPr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2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博州</w:t>
            </w:r>
          </w:p>
        </w:tc>
        <w:tc>
          <w:tcPr>
            <w:tcW w:w="1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9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</w:trPr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2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吐鲁番市</w:t>
            </w:r>
          </w:p>
        </w:tc>
        <w:tc>
          <w:tcPr>
            <w:tcW w:w="1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99.94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19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</w:trPr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2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</w:t>
            </w:r>
          </w:p>
        </w:tc>
        <w:tc>
          <w:tcPr>
            <w:tcW w:w="1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99.85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19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</w:trPr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2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喀什地区</w:t>
            </w:r>
          </w:p>
        </w:tc>
        <w:tc>
          <w:tcPr>
            <w:tcW w:w="1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99.82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19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</w:trPr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2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1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9.75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19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</w:trPr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2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塔城地区</w:t>
            </w:r>
          </w:p>
        </w:tc>
        <w:tc>
          <w:tcPr>
            <w:tcW w:w="1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99.60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19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</w:trPr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2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哈密市</w:t>
            </w:r>
          </w:p>
        </w:tc>
        <w:tc>
          <w:tcPr>
            <w:tcW w:w="1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99.37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19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  <w:t>达标</w:t>
            </w:r>
          </w:p>
        </w:tc>
      </w:tr>
    </w:tbl>
    <w:p>
      <w:pPr>
        <w:jc w:val="center"/>
      </w:pPr>
      <w:r>
        <w:rPr>
          <w:rFonts w:hint="default" w:ascii="Times New Roman" w:hAnsi="Times New Roman" w:eastAsia="方正楷体_GBK" w:cs="Times New Roman"/>
          <w:b w:val="0"/>
          <w:bCs w:val="0"/>
          <w:color w:val="auto"/>
          <w:sz w:val="32"/>
          <w:szCs w:val="32"/>
          <w:lang w:val="en-US" w:eastAsia="zh-CN"/>
        </w:rPr>
        <w:t>各地（州、市）交通运输</w:t>
      </w:r>
      <w:bookmarkStart w:id="0" w:name="_GoBack"/>
      <w:bookmarkEnd w:id="0"/>
      <w:r>
        <w:rPr>
          <w:rFonts w:hint="default" w:ascii="Times New Roman" w:hAnsi="Times New Roman" w:eastAsia="方正楷体_GBK" w:cs="Times New Roman"/>
          <w:b w:val="0"/>
          <w:bCs w:val="0"/>
          <w:color w:val="auto"/>
          <w:sz w:val="32"/>
          <w:szCs w:val="32"/>
          <w:lang w:val="en-US" w:eastAsia="zh-CN"/>
        </w:rPr>
        <w:t>局报警总处置率</w:t>
      </w:r>
      <w:r>
        <w:rPr>
          <w:rFonts w:hint="eastAsia" w:ascii="Times New Roman" w:hAnsi="Times New Roman" w:eastAsia="方正楷体_GBK" w:cs="Times New Roman"/>
          <w:b w:val="0"/>
          <w:bCs w:val="0"/>
          <w:color w:val="auto"/>
          <w:sz w:val="32"/>
          <w:szCs w:val="32"/>
          <w:lang w:val="en-US" w:eastAsia="zh-CN"/>
        </w:rPr>
        <w:t>统计表</w:t>
      </w:r>
    </w:p>
    <w:sectPr>
      <w:pgSz w:w="11906" w:h="16838"/>
      <w:pgMar w:top="2098" w:right="1531" w:bottom="1984" w:left="1531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61B59"/>
    <w:multiLevelType w:val="multilevel"/>
    <w:tmpl w:val="05961B59"/>
    <w:lvl w:ilvl="0" w:tentative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pStyle w:val="2"/>
      <w:lvlText w:val="%1.%2.%3."/>
      <w:lvlJc w:val="left"/>
      <w:pPr>
        <w:ind w:left="177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4646E8"/>
    <w:rsid w:val="324646E8"/>
    <w:rsid w:val="4FE4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numPr>
        <w:ilvl w:val="2"/>
        <w:numId w:val="1"/>
      </w:numPr>
      <w:spacing w:before="260" w:after="260" w:line="413" w:lineRule="auto"/>
      <w:outlineLvl w:val="2"/>
    </w:pPr>
    <w:rPr>
      <w:rFonts w:eastAsia="仿宋_GB2312"/>
      <w:b/>
      <w:sz w:val="32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2025-03-11T10:24:00Z</dcterms:created>
  <dc:creator>Administrator</dc:creator>
  <cp:lastModifiedBy>Administrator</cp:lastModifiedBy>
  <dcterms:modified xsi:type="dcterms:W3CDTF">2025-03-11T10:34:40Z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